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868C1">
      <w:pPr>
        <w:spacing w:line="560" w:lineRule="exact"/>
        <w:jc w:val="center"/>
        <w:rPr>
          <w:rFonts w:eastAsia="方正小标宋简体"/>
          <w:vanish w:val="0"/>
          <w:color w:val="000000"/>
          <w:spacing w:val="-8"/>
          <w:kern w:val="2"/>
          <w:sz w:val="44"/>
          <w:szCs w:val="44"/>
          <w:highlight w:val="none"/>
        </w:rPr>
      </w:pPr>
    </w:p>
    <w:p w14:paraId="7A6E5BC5">
      <w:pPr>
        <w:spacing w:line="560" w:lineRule="exact"/>
        <w:jc w:val="center"/>
        <w:rPr>
          <w:rFonts w:eastAsia="方正小标宋简体"/>
          <w:vanish w:val="0"/>
          <w:color w:val="000000"/>
          <w:spacing w:val="-8"/>
          <w:kern w:val="2"/>
          <w:sz w:val="44"/>
          <w:szCs w:val="44"/>
          <w:highlight w:val="none"/>
        </w:rPr>
      </w:pPr>
    </w:p>
    <w:p w14:paraId="001C6808">
      <w:pPr>
        <w:spacing w:line="560" w:lineRule="exact"/>
        <w:jc w:val="center"/>
        <w:rPr>
          <w:rFonts w:eastAsia="方正小标宋简体"/>
          <w:vanish w:val="0"/>
          <w:color w:val="000000"/>
          <w:spacing w:val="-8"/>
          <w:kern w:val="2"/>
          <w:sz w:val="44"/>
          <w:szCs w:val="44"/>
          <w:highlight w:val="none"/>
        </w:rPr>
      </w:pPr>
      <w:r>
        <w:rPr>
          <w:rFonts w:eastAsia="方正小标宋简体"/>
          <w:vanish w:val="0"/>
          <w:color w:val="000000"/>
          <w:spacing w:val="-8"/>
          <w:kern w:val="2"/>
          <w:sz w:val="44"/>
          <w:szCs w:val="44"/>
          <w:highlight w:val="none"/>
        </w:rPr>
        <w:t>天津市非居住存量房屋改建为保障性</w:t>
      </w:r>
    </w:p>
    <w:p w14:paraId="088DA486">
      <w:pPr>
        <w:spacing w:line="560" w:lineRule="exact"/>
        <w:jc w:val="center"/>
        <w:rPr>
          <w:rFonts w:eastAsia="仿宋_GB2312"/>
          <w:vanish w:val="0"/>
          <w:color w:val="000000"/>
          <w:spacing w:val="-8"/>
          <w:kern w:val="2"/>
          <w:sz w:val="32"/>
          <w:szCs w:val="32"/>
          <w:highlight w:val="none"/>
        </w:rPr>
      </w:pPr>
      <w:r>
        <w:rPr>
          <w:rFonts w:eastAsia="方正小标宋简体"/>
          <w:vanish w:val="0"/>
          <w:color w:val="000000"/>
          <w:spacing w:val="-8"/>
          <w:kern w:val="2"/>
          <w:sz w:val="44"/>
          <w:szCs w:val="44"/>
          <w:highlight w:val="none"/>
        </w:rPr>
        <w:t>租赁住房的指导意见</w:t>
      </w:r>
    </w:p>
    <w:p w14:paraId="595005D9">
      <w:pPr>
        <w:adjustRightInd w:val="0"/>
        <w:snapToGrid w:val="0"/>
        <w:spacing w:line="560" w:lineRule="exact"/>
        <w:rPr>
          <w:rFonts w:eastAsia="仿宋_GB2312"/>
          <w:vanish w:val="0"/>
          <w:color w:val="000000"/>
          <w:spacing w:val="-8"/>
          <w:kern w:val="2"/>
          <w:sz w:val="32"/>
          <w:szCs w:val="32"/>
          <w:highlight w:val="none"/>
        </w:rPr>
      </w:pPr>
    </w:p>
    <w:p w14:paraId="7FA992ED">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按照《国务院办公厅关于加快发展保障性租赁住房的意见》（国办发〔2021〕22号）、《住房和城乡建设部办公厅关于集中式租赁住房建设适用标准的通知》（建办标〔2021〕19号）</w:t>
      </w:r>
      <w:r>
        <w:rPr>
          <w:vanish w:val="0"/>
          <w:color w:val="000000"/>
          <w:spacing w:val="-8"/>
          <w:kern w:val="2"/>
          <w:sz w:val="32"/>
          <w:szCs w:val="32"/>
          <w:highlight w:val="none"/>
        </w:rPr>
        <w:t>和</w:t>
      </w:r>
      <w:r>
        <w:rPr>
          <w:vanish w:val="0"/>
          <w:color w:val="000000"/>
          <w:spacing w:val="-8"/>
          <w:kern w:val="2"/>
          <w:sz w:val="32"/>
          <w:szCs w:val="32"/>
          <w:highlight w:val="none"/>
          <w:lang w:eastAsia="zh-CN"/>
        </w:rPr>
        <w:t>《天津市人民政府办公厅关于印发天津市加快发展保障性租赁住房实施方案的通知》（津政办规〔2022〕7号）</w:t>
      </w:r>
      <w:r>
        <w:rPr>
          <w:rFonts w:eastAsia="仿宋_GB2312"/>
          <w:vanish w:val="0"/>
          <w:color w:val="000000"/>
          <w:spacing w:val="-8"/>
          <w:kern w:val="2"/>
          <w:sz w:val="32"/>
          <w:szCs w:val="32"/>
          <w:highlight w:val="none"/>
        </w:rPr>
        <w:t>等有关规定，为加快发展保障性租赁住房，结合本市实际，制定本指导意见。</w:t>
      </w:r>
    </w:p>
    <w:p w14:paraId="1D33E642">
      <w:pPr>
        <w:adjustRightInd w:val="0"/>
        <w:snapToGrid w:val="0"/>
        <w:spacing w:line="560" w:lineRule="exact"/>
        <w:ind w:firstLine="600" w:firstLineChars="200"/>
        <w:rPr>
          <w:rFonts w:eastAsia="黑体"/>
          <w:vanish w:val="0"/>
          <w:color w:val="000000"/>
          <w:spacing w:val="-8"/>
          <w:kern w:val="2"/>
          <w:sz w:val="32"/>
          <w:szCs w:val="32"/>
          <w:highlight w:val="none"/>
        </w:rPr>
      </w:pPr>
      <w:r>
        <w:rPr>
          <w:rFonts w:eastAsia="黑体"/>
          <w:vanish w:val="0"/>
          <w:color w:val="000000"/>
          <w:spacing w:val="-8"/>
          <w:kern w:val="2"/>
          <w:sz w:val="32"/>
          <w:szCs w:val="32"/>
          <w:highlight w:val="none"/>
        </w:rPr>
        <w:t>一、适用范围</w:t>
      </w:r>
    </w:p>
    <w:p w14:paraId="5454121A">
      <w:pPr>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本市行政区域内合法建设的，闲置和低效利用的商业办公、旅馆、厂房、仓储、科研教育等非居住存量房屋（包括集体经营性建设用地上的非居住存量房屋），可以申请改建为保障性租赁住房。土地性质为三类工业用地和三类物流仓储用地及其他不符合国家和本市有关规定的非居住房屋，不得改建为保障性租赁住房。</w:t>
      </w:r>
    </w:p>
    <w:p w14:paraId="59361F4D">
      <w:pPr>
        <w:adjustRightInd w:val="0"/>
        <w:snapToGrid w:val="0"/>
        <w:spacing w:line="560" w:lineRule="exact"/>
        <w:ind w:firstLine="600" w:firstLineChars="200"/>
        <w:rPr>
          <w:rFonts w:eastAsia="黑体"/>
          <w:vanish w:val="0"/>
          <w:color w:val="000000"/>
          <w:spacing w:val="-8"/>
          <w:kern w:val="2"/>
          <w:sz w:val="32"/>
          <w:szCs w:val="32"/>
          <w:highlight w:val="none"/>
        </w:rPr>
      </w:pPr>
      <w:r>
        <w:rPr>
          <w:rFonts w:eastAsia="黑体"/>
          <w:vanish w:val="0"/>
          <w:color w:val="000000"/>
          <w:spacing w:val="-8"/>
          <w:kern w:val="2"/>
          <w:sz w:val="32"/>
          <w:szCs w:val="32"/>
          <w:highlight w:val="none"/>
        </w:rPr>
        <w:t>二、工作原则</w:t>
      </w:r>
    </w:p>
    <w:p w14:paraId="7F6640A6">
      <w:pPr>
        <w:numPr>
          <w:ilvl w:val="0"/>
          <w:numId w:val="1"/>
        </w:numPr>
        <w:spacing w:line="560" w:lineRule="exact"/>
        <w:ind w:left="0" w:firstLine="608" w:firstLineChars="200"/>
        <w:rPr>
          <w:rFonts w:eastAsia="楷体_GB2312"/>
          <w:vanish w:val="0"/>
          <w:color w:val="000000"/>
          <w:spacing w:val="-6"/>
          <w:kern w:val="2"/>
          <w:sz w:val="32"/>
          <w:szCs w:val="32"/>
          <w:highlight w:val="none"/>
        </w:rPr>
      </w:pPr>
      <w:r>
        <w:rPr>
          <w:rFonts w:eastAsia="楷体_GB2312"/>
          <w:vanish w:val="0"/>
          <w:color w:val="000000"/>
          <w:spacing w:val="-6"/>
          <w:kern w:val="2"/>
          <w:sz w:val="32"/>
          <w:szCs w:val="32"/>
          <w:highlight w:val="none"/>
        </w:rPr>
        <w:t>实行计划调控</w:t>
      </w:r>
    </w:p>
    <w:p w14:paraId="11BFD6A4">
      <w:pPr>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根据“十四五”保障性租赁住房建设目标，编制下达全市保障性租赁住房年度计划，各区人民政府依据保障性租赁住房年度计划落实本区保障性租赁住房改建项目。</w:t>
      </w:r>
    </w:p>
    <w:p w14:paraId="52824348">
      <w:pPr>
        <w:adjustRightInd w:val="0"/>
        <w:snapToGrid w:val="0"/>
        <w:spacing w:line="560" w:lineRule="exact"/>
        <w:ind w:firstLine="608" w:firstLineChars="200"/>
        <w:rPr>
          <w:rFonts w:eastAsia="楷体_GB2312"/>
          <w:vanish w:val="0"/>
          <w:color w:val="000000"/>
          <w:spacing w:val="-6"/>
          <w:kern w:val="2"/>
          <w:sz w:val="32"/>
          <w:szCs w:val="32"/>
          <w:highlight w:val="none"/>
        </w:rPr>
      </w:pPr>
      <w:r>
        <w:rPr>
          <w:rFonts w:eastAsia="楷体_GB2312"/>
          <w:vanish w:val="0"/>
          <w:color w:val="000000"/>
          <w:spacing w:val="-6"/>
          <w:kern w:val="2"/>
          <w:sz w:val="32"/>
          <w:szCs w:val="32"/>
          <w:highlight w:val="none"/>
        </w:rPr>
        <w:t>（二）优化项目布局</w:t>
      </w:r>
    </w:p>
    <w:p w14:paraId="12FE2F1F">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改建项目重点布局在轨道交通沿线、工业产业园区、商业商务集聚区、高校科研院所周边等人口聚集、交通便利、配套完善、需求旺盛的区域，精准</w:t>
      </w:r>
      <w:bookmarkStart w:id="0" w:name="_GoBack"/>
      <w:r>
        <w:rPr>
          <w:rFonts w:eastAsia="仿宋_GB2312"/>
          <w:vanish w:val="0"/>
          <w:color w:val="000000"/>
          <w:spacing w:val="-8"/>
          <w:kern w:val="2"/>
          <w:sz w:val="32"/>
          <w:szCs w:val="32"/>
          <w:highlight w:val="none"/>
        </w:rPr>
        <w:t>对</w:t>
      </w:r>
      <w:bookmarkEnd w:id="0"/>
      <w:r>
        <w:rPr>
          <w:rFonts w:eastAsia="仿宋_GB2312"/>
          <w:vanish w:val="0"/>
          <w:color w:val="000000"/>
          <w:spacing w:val="-8"/>
          <w:kern w:val="2"/>
          <w:sz w:val="32"/>
          <w:szCs w:val="32"/>
          <w:highlight w:val="none"/>
        </w:rPr>
        <w:t>接租赁住房需求，促进职住平衡，引导</w:t>
      </w:r>
      <w:r>
        <w:rPr>
          <w:rFonts w:eastAsia="仿宋_GB2312"/>
          <w:vanish w:val="0"/>
          <w:color w:val="000000"/>
          <w:spacing w:val="-6"/>
          <w:kern w:val="2"/>
          <w:sz w:val="32"/>
          <w:szCs w:val="32"/>
          <w:highlight w:val="none"/>
          <w:shd w:val="clear" w:color="auto" w:fill="FFFFFF"/>
        </w:rPr>
        <w:t>产城人融合、人地房联动。</w:t>
      </w:r>
    </w:p>
    <w:p w14:paraId="2BC75710">
      <w:pPr>
        <w:adjustRightInd w:val="0"/>
        <w:snapToGrid w:val="0"/>
        <w:spacing w:line="560" w:lineRule="exact"/>
        <w:ind w:firstLine="608" w:firstLineChars="200"/>
        <w:rPr>
          <w:rFonts w:eastAsia="楷体_GB2312"/>
          <w:vanish w:val="0"/>
          <w:color w:val="000000"/>
          <w:spacing w:val="-6"/>
          <w:kern w:val="2"/>
          <w:sz w:val="32"/>
          <w:szCs w:val="32"/>
          <w:highlight w:val="none"/>
        </w:rPr>
      </w:pPr>
      <w:r>
        <w:rPr>
          <w:rFonts w:eastAsia="楷体_GB2312"/>
          <w:vanish w:val="0"/>
          <w:color w:val="000000"/>
          <w:spacing w:val="-6"/>
          <w:kern w:val="2"/>
          <w:sz w:val="32"/>
          <w:szCs w:val="32"/>
          <w:highlight w:val="none"/>
        </w:rPr>
        <w:t>（三）明确对象标准</w:t>
      </w:r>
    </w:p>
    <w:p w14:paraId="4FA04BC4">
      <w:pPr>
        <w:adjustRightInd w:val="0"/>
        <w:snapToGrid w:val="0"/>
        <w:spacing w:line="560" w:lineRule="exact"/>
        <w:ind w:firstLine="600" w:firstLineChars="200"/>
        <w:rPr>
          <w:rFonts w:eastAsia="仿宋_GB2312"/>
          <w:vanish w:val="0"/>
          <w:color w:val="000000"/>
          <w:spacing w:val="-8"/>
          <w:kern w:val="2"/>
          <w:sz w:val="32"/>
          <w:szCs w:val="32"/>
          <w:highlight w:val="none"/>
        </w:rPr>
      </w:pPr>
      <w:r>
        <w:rPr>
          <w:color w:val="000000"/>
          <w:spacing w:val="-8"/>
          <w:szCs w:val="32"/>
          <w:highlight w:val="none"/>
        </w:rPr>
        <w:t>改建项目出租单元建筑面积最大不超过100平方米，且70平方米以下的占比不低于80%</w:t>
      </w:r>
      <w:r>
        <w:rPr>
          <w:rFonts w:eastAsia="仿宋_GB2312"/>
          <w:vanish w:val="0"/>
          <w:color w:val="000000"/>
          <w:spacing w:val="-6"/>
          <w:kern w:val="2"/>
          <w:sz w:val="32"/>
          <w:szCs w:val="32"/>
          <w:highlight w:val="none"/>
        </w:rPr>
        <w:t>。</w:t>
      </w:r>
      <w:r>
        <w:rPr>
          <w:rFonts w:eastAsia="仿宋_GB2312"/>
          <w:vanish w:val="0"/>
          <w:color w:val="000000"/>
          <w:spacing w:val="-8"/>
          <w:kern w:val="2"/>
          <w:sz w:val="32"/>
          <w:szCs w:val="32"/>
          <w:highlight w:val="none"/>
        </w:rPr>
        <w:t>租金低于同地段同品质市场租赁住房租金水平，主要解决新市民、青年人等群体的住房困难问题。</w:t>
      </w:r>
    </w:p>
    <w:p w14:paraId="248C4D89">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（四）加大政策扶持</w:t>
      </w:r>
    </w:p>
    <w:p w14:paraId="6590AE3D">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非居住存量房屋用作保障性租赁住房期间，不变更土地使用性质、不补缴土地价款，土地使用年限和总建筑面积不变，不改变原有房屋类型和建筑容量控制指标，不改变原不动产登记信息。改建项目不得突破既有建筑外轮廓线，不改变相邻关系。改建后涉及房屋征收、拆除的，按改建前的房屋用途予以补偿。改建项目运营期限不得超过经批准的土地使用年限，涉及划拨用地且未明确划拨土地使用年限的，改建项目运营期限不得超过相应用途国家规定的最高土地使用权使用年限。</w:t>
      </w:r>
    </w:p>
    <w:p w14:paraId="33064836">
      <w:pPr>
        <w:adjustRightInd w:val="0"/>
        <w:snapToGrid w:val="0"/>
        <w:spacing w:line="560" w:lineRule="exact"/>
        <w:ind w:firstLine="600" w:firstLineChars="200"/>
        <w:rPr>
          <w:rFonts w:eastAsia="黑体"/>
          <w:vanish w:val="0"/>
          <w:color w:val="000000"/>
          <w:spacing w:val="-8"/>
          <w:kern w:val="2"/>
          <w:sz w:val="32"/>
          <w:szCs w:val="32"/>
          <w:highlight w:val="none"/>
        </w:rPr>
      </w:pPr>
      <w:r>
        <w:rPr>
          <w:rFonts w:eastAsia="黑体"/>
          <w:vanish w:val="0"/>
          <w:color w:val="000000"/>
          <w:spacing w:val="-8"/>
          <w:kern w:val="2"/>
          <w:sz w:val="32"/>
          <w:szCs w:val="32"/>
          <w:highlight w:val="none"/>
        </w:rPr>
        <w:t>三、改建要求</w:t>
      </w:r>
    </w:p>
    <w:p w14:paraId="6728D2BD">
      <w:pPr>
        <w:numPr>
          <w:ilvl w:val="0"/>
          <w:numId w:val="2"/>
        </w:numPr>
        <w:adjustRightInd w:val="0"/>
        <w:snapToGrid w:val="0"/>
        <w:spacing w:line="560" w:lineRule="exact"/>
        <w:ind w:left="0"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权属清晰</w:t>
      </w:r>
    </w:p>
    <w:p w14:paraId="4D537A12">
      <w:pPr>
        <w:adjustRightInd w:val="0"/>
        <w:snapToGrid w:val="0"/>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应当为依法取得不动产权属证书的合法建筑，不存在查封登记、异议登记等限制交易的情况。房屋存在抵押权、地役权登记的，申请改建前应当取得抵押权人、地役权人的书面同意。改建项目运营期间不得分割登记、分割转让、分割抵押、分割销售，不得以租代售。</w:t>
      </w:r>
    </w:p>
    <w:p w14:paraId="4B6B87B1">
      <w:pPr>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（二）主体明确</w:t>
      </w:r>
    </w:p>
    <w:p w14:paraId="6C7B9560">
      <w:pPr>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的实施主体应当为房屋的不动产权利人，或受不动产权利人委托的代建单位，或受不动产权利人委托实际开展租赁运营并具有企业法人主体资格的住房租赁企业。不动产权利人为自然人的应当委托相关单位实施。</w:t>
      </w:r>
    </w:p>
    <w:p w14:paraId="3692E7CE">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（三）规模合理</w:t>
      </w:r>
    </w:p>
    <w:p w14:paraId="4B62F793">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规模原则上不少于30套或建筑面积不少于1500平方米。其中，商业办公类房屋应当以整幢、整栋或整层为改建单元，厂房、仓储类房屋应当以整幢或整栋为改建单元，旅馆、科研教育类房屋应当以整幢为改建单元。</w:t>
      </w:r>
    </w:p>
    <w:p w14:paraId="5F1B9C98">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（四）功能齐全</w:t>
      </w:r>
    </w:p>
    <w:p w14:paraId="2A32AACA">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保障性租赁住房可以根据市场需求和建筑周边商业服务网点配置等实际情况，适当增加相应服务功能。</w:t>
      </w:r>
    </w:p>
    <w:p w14:paraId="756F0A48">
      <w:pPr>
        <w:adjustRightInd w:val="0"/>
        <w:snapToGrid w:val="0"/>
        <w:spacing w:line="560" w:lineRule="exact"/>
        <w:ind w:left="0" w:firstLine="600" w:firstLineChars="200"/>
        <w:rPr>
          <w:rFonts w:eastAsia="楷体_GB2312"/>
          <w:vanish w:val="0"/>
          <w:color w:val="000000"/>
          <w:spacing w:val="-8"/>
          <w:kern w:val="2"/>
          <w:sz w:val="32"/>
          <w:szCs w:val="32"/>
          <w:highlight w:val="none"/>
        </w:rPr>
      </w:pPr>
      <w:r>
        <w:rPr>
          <w:rFonts w:eastAsia="楷体_GB2312"/>
          <w:color w:val="000000"/>
          <w:spacing w:val="-8"/>
          <w:szCs w:val="32"/>
          <w:highlight w:val="none"/>
        </w:rPr>
        <w:t>（五）</w:t>
      </w:r>
      <w:r>
        <w:rPr>
          <w:rFonts w:eastAsia="楷体_GB2312"/>
          <w:vanish w:val="0"/>
          <w:color w:val="000000"/>
          <w:spacing w:val="-8"/>
          <w:kern w:val="2"/>
          <w:sz w:val="32"/>
          <w:szCs w:val="32"/>
          <w:highlight w:val="none"/>
        </w:rPr>
        <w:t>结构安全</w:t>
      </w:r>
    </w:p>
    <w:p w14:paraId="36FF089D">
      <w:pPr>
        <w:adjustRightInd w:val="0"/>
        <w:snapToGrid w:val="0"/>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改建项目的房屋结构应当符合安全牢固要求，改建前应当由改建实施主体委托房屋安全鉴定机构进行房屋安全性能鉴定，鉴定结果需符合安全标准，确保房屋结构安全。</w:t>
      </w:r>
    </w:p>
    <w:p w14:paraId="291BEF4B">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（六）适用标准</w:t>
      </w:r>
    </w:p>
    <w:p w14:paraId="286CC727">
      <w:pPr>
        <w:adjustRightInd w:val="0"/>
        <w:snapToGrid w:val="0"/>
        <w:spacing w:line="560" w:lineRule="exact"/>
        <w:ind w:firstLine="600" w:firstLineChars="200"/>
        <w:rPr>
          <w:rFonts w:eastAsia="仿宋_GB2312"/>
          <w:vanish w:val="0"/>
          <w:color w:val="000000"/>
          <w:spacing w:val="-6"/>
          <w:kern w:val="2"/>
          <w:sz w:val="32"/>
          <w:szCs w:val="32"/>
          <w:highlight w:val="none"/>
        </w:rPr>
      </w:pPr>
      <w:r>
        <w:rPr>
          <w:rFonts w:eastAsia="仿宋_GB2312"/>
          <w:vanish w:val="0"/>
          <w:color w:val="000000"/>
          <w:spacing w:val="-8"/>
          <w:kern w:val="2"/>
          <w:sz w:val="32"/>
          <w:szCs w:val="32"/>
          <w:highlight w:val="none"/>
        </w:rPr>
        <w:t>改建项目按照使用对象和使用功能，分为改建宿舍型租赁住房和改建住宅型租赁住房，其类型、适用标准和服务功能配置按照《住房和城乡建设部办公厅关于集中式租赁住房建设适用标准的通知》（建办标〔2021〕19号</w:t>
      </w:r>
      <w:r>
        <w:rPr>
          <w:rFonts w:eastAsia="仿宋_GB2312"/>
          <w:vanish w:val="0"/>
          <w:color w:val="000000"/>
          <w:spacing w:val="-8"/>
          <w:kern w:val="2"/>
          <w:sz w:val="32"/>
          <w:szCs w:val="32"/>
          <w:highlight w:val="none"/>
          <w:lang w:eastAsia="zh-CN"/>
        </w:rPr>
        <w:t>）</w:t>
      </w:r>
      <w:r>
        <w:rPr>
          <w:rFonts w:eastAsia="仿宋_GB2312"/>
          <w:vanish w:val="0"/>
          <w:color w:val="000000"/>
          <w:spacing w:val="-8"/>
          <w:kern w:val="2"/>
          <w:sz w:val="32"/>
          <w:szCs w:val="32"/>
          <w:highlight w:val="none"/>
        </w:rPr>
        <w:t>等规定执行</w:t>
      </w:r>
      <w:r>
        <w:rPr>
          <w:rFonts w:eastAsia="仿宋_GB2312"/>
          <w:vanish w:val="0"/>
          <w:color w:val="000000"/>
          <w:spacing w:val="-6"/>
          <w:kern w:val="2"/>
          <w:sz w:val="32"/>
          <w:szCs w:val="32"/>
          <w:highlight w:val="none"/>
        </w:rPr>
        <w:t>。</w:t>
      </w:r>
    </w:p>
    <w:p w14:paraId="7253B312">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（七）面积合规</w:t>
      </w:r>
    </w:p>
    <w:p w14:paraId="6F8610BF">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按照本市关于人均租住使用面积的规定，改建后租赁住房的人均租住使用面积不得低于5平方米；涉及参照宿舍标准改建的，人均租住使用面积应当满足国家和本市宿舍建筑设计规范要求。</w:t>
      </w:r>
    </w:p>
    <w:p w14:paraId="39A46218">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（八）消防安全</w:t>
      </w:r>
    </w:p>
    <w:p w14:paraId="12B3D40D">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改建项目应当执行建设工程法律法规规章和工程建设消防技术标准。消防手续办理和日常消防监管应当符合国家和本市相关要求。</w:t>
      </w:r>
    </w:p>
    <w:p w14:paraId="3D7B27C4">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（九）环保卫生</w:t>
      </w:r>
    </w:p>
    <w:p w14:paraId="2BAD45D8">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应当符合国家和本市关于室内空气质量的相关要求，改造和装修所使用材料和设备应当符合国家和本市技术标准和规范。改建后的租赁住房应当具备良好的卫生、通风和采光等居住条件，并符合给排水、供电等相关要求。</w:t>
      </w:r>
    </w:p>
    <w:p w14:paraId="78A5CBCC">
      <w:pPr>
        <w:adjustRightInd w:val="0"/>
        <w:snapToGrid w:val="0"/>
        <w:spacing w:line="560" w:lineRule="exact"/>
        <w:ind w:firstLine="600" w:firstLineChars="200"/>
        <w:rPr>
          <w:rFonts w:eastAsia="黑体"/>
          <w:vanish w:val="0"/>
          <w:color w:val="000000"/>
          <w:spacing w:val="-8"/>
          <w:kern w:val="2"/>
          <w:sz w:val="32"/>
          <w:szCs w:val="32"/>
          <w:highlight w:val="none"/>
        </w:rPr>
      </w:pPr>
      <w:r>
        <w:rPr>
          <w:rFonts w:eastAsia="黑体"/>
          <w:vanish w:val="0"/>
          <w:color w:val="000000"/>
          <w:spacing w:val="-8"/>
          <w:kern w:val="2"/>
          <w:sz w:val="32"/>
          <w:szCs w:val="32"/>
          <w:highlight w:val="none"/>
        </w:rPr>
        <w:t>四、改建程序</w:t>
      </w:r>
    </w:p>
    <w:p w14:paraId="4268819A">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（一）制定计划</w:t>
      </w:r>
    </w:p>
    <w:p w14:paraId="4151A7C7">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区住建委组织改建项目的实施主体进行项目申报，将符合条件的改建项目纳入年度建设计划，上报区人民政府批准后报送市住房城乡建设委。</w:t>
      </w:r>
    </w:p>
    <w:p w14:paraId="0BB19037">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（二）改建申请</w:t>
      </w:r>
    </w:p>
    <w:p w14:paraId="4E5D29BC">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符合计划的改建项目，由实施主体向项目所在地的区住建委提出改建申请，并提交下列材料：</w:t>
      </w:r>
    </w:p>
    <w:p w14:paraId="0CD10124">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1.改建项目的书面申请。</w:t>
      </w:r>
    </w:p>
    <w:p w14:paraId="05D9AB68">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2.不动产权属证书或其他合法权属证明（复印件）；涉及委托实施的，提交房屋产权人委托实施改建的授权委托书；涉及抵押权、地役权登记的，提交相关权利人同意改建租赁住房的书面意见。</w:t>
      </w:r>
    </w:p>
    <w:p w14:paraId="31A8CA6C">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3.改建实施主体的营业执照及法定代表人身份证复印件。</w:t>
      </w:r>
    </w:p>
    <w:p w14:paraId="23DA9181">
      <w:pPr>
        <w:adjustRightInd w:val="0"/>
        <w:snapToGrid w:val="0"/>
        <w:spacing w:line="560" w:lineRule="exact"/>
        <w:ind w:firstLine="600" w:firstLineChars="200"/>
        <w:rPr>
          <w:rFonts w:eastAsia="仿宋_GB2312"/>
          <w:vanish w:val="0"/>
          <w:color w:val="000000"/>
          <w:spacing w:val="-6"/>
          <w:kern w:val="2"/>
          <w:sz w:val="32"/>
          <w:szCs w:val="32"/>
          <w:highlight w:val="none"/>
        </w:rPr>
      </w:pPr>
      <w:r>
        <w:rPr>
          <w:rFonts w:eastAsia="仿宋_GB2312"/>
          <w:vanish w:val="0"/>
          <w:color w:val="000000"/>
          <w:spacing w:val="-8"/>
          <w:kern w:val="2"/>
          <w:sz w:val="32"/>
          <w:szCs w:val="32"/>
          <w:highlight w:val="none"/>
        </w:rPr>
        <w:t>4.项目改建方案，包括拟改建项目现状、建设周期、运营期限、运营主体情况、设计方案、改建套数、户型设计、租赁管理方案、公共配套分析及可行性综合分析等内容。</w:t>
      </w:r>
    </w:p>
    <w:p w14:paraId="38DB501A">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5.房屋安全鉴定机构出具的房屋安全鉴定报告。</w:t>
      </w:r>
    </w:p>
    <w:p w14:paraId="1FF115B7">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6.消防改建方案。</w:t>
      </w:r>
    </w:p>
    <w:p w14:paraId="3ADD49E1">
      <w:pPr>
        <w:adjustRightInd w:val="0"/>
        <w:snapToGrid w:val="0"/>
        <w:spacing w:line="560" w:lineRule="exact"/>
        <w:ind w:firstLine="600" w:firstLineChars="200"/>
        <w:rPr>
          <w:rFonts w:eastAsia="仿宋_GB2312"/>
          <w:vanish w:val="0"/>
          <w:color w:val="000000"/>
          <w:spacing w:val="-6"/>
          <w:kern w:val="2"/>
          <w:sz w:val="32"/>
          <w:szCs w:val="32"/>
          <w:highlight w:val="none"/>
        </w:rPr>
      </w:pPr>
      <w:r>
        <w:rPr>
          <w:rFonts w:eastAsia="仿宋_GB2312"/>
          <w:vanish w:val="0"/>
          <w:color w:val="000000"/>
          <w:spacing w:val="-8"/>
          <w:kern w:val="2"/>
          <w:sz w:val="32"/>
          <w:szCs w:val="32"/>
          <w:highlight w:val="none"/>
        </w:rPr>
        <w:t>7.其他需要提供的材料。</w:t>
      </w:r>
    </w:p>
    <w:p w14:paraId="48C29A45">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（三）认定</w:t>
      </w:r>
    </w:p>
    <w:p w14:paraId="74B9E519">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区住建委在受理申请材料后3个工作日内组织政务服务、发展改革、规划资源、</w:t>
      </w:r>
      <w:r>
        <w:rPr>
          <w:vanish w:val="0"/>
          <w:color w:val="000000"/>
          <w:spacing w:val="-8"/>
          <w:kern w:val="2"/>
          <w:sz w:val="32"/>
          <w:szCs w:val="32"/>
          <w:highlight w:val="none"/>
        </w:rPr>
        <w:t>消防救援、</w:t>
      </w:r>
      <w:r>
        <w:rPr>
          <w:rFonts w:eastAsia="仿宋_GB2312"/>
          <w:vanish w:val="0"/>
          <w:color w:val="000000"/>
          <w:spacing w:val="-8"/>
          <w:kern w:val="2"/>
          <w:sz w:val="32"/>
          <w:szCs w:val="32"/>
          <w:highlight w:val="none"/>
        </w:rPr>
        <w:t>城市管理等部门对改建项目进行联合认定，对符合改建要求的，提出联合认定意见，并在官方网站公示5个工作日。公示期满无异议的，区住建委上报区人民政府批准同意并出具保障性租赁住房项目认定书，明确改建项目实施主体、投资规模、房源总量、运营期限、资金来源等指标，将保障性租赁住房项目认定书报送市住房城乡建设委，按规定纳入全市统一管理。</w:t>
      </w:r>
    </w:p>
    <w:p w14:paraId="0A7BDBC1">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（四）组织实施</w:t>
      </w:r>
    </w:p>
    <w:p w14:paraId="4CA66A2E">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区政务服务部门牵头组织为取得保障性租赁住房项目认定书的项目办理立项、用地、规划、施工、消防等手续。</w:t>
      </w:r>
    </w:p>
    <w:p w14:paraId="1C7D0E7A">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1.立项手续。由项目审批部门进行审批或备案。</w:t>
      </w:r>
    </w:p>
    <w:p w14:paraId="4B5311E4">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2.规划用地手续。对于改建工程不涉及建筑整体风格改变的，可以免于办理建设工程规划许可手续；确需办理的可以按照本市控制性详细规划的规划执行要求办理自有土地规划条件和建设工程规划许可证。改建项目不涉及土地权属变化，可以用已有用地手续等材料作为土地证明文件，不再办理用地手续。</w:t>
      </w:r>
    </w:p>
    <w:p w14:paraId="096253FB">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3.施工手续。改建项目实施主体应当依法选择具备资质的施工、监理等参建单位，依法办理工程质量监督和施工许可手续，建设工程安全质量监督部门依法进行质量监督。</w:t>
      </w:r>
    </w:p>
    <w:p w14:paraId="6A795A2A">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4.消防手续。改建项目属于特殊建设工程的，改建实施主体应当向区住建委申请消防设计审查、消防验收。其他建设工程，改建实施主体在竣工验收合格之日起5个工作日内应当报区住建委申请消防验收备案，区住建委应当按照本市有关规定进行抽查。</w:t>
      </w:r>
    </w:p>
    <w:p w14:paraId="5EE58117">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5.联合验收。改建项目完工后，区住建委牵头组织相关部门联合验收。改建项目联合验收合格后，实施主体应当将测绘成果报送区住建委，由区住建委录入天津市智慧住房建设租赁综合服务平台。</w:t>
      </w:r>
    </w:p>
    <w:p w14:paraId="0F97DB64">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（五）落实支持政策</w:t>
      </w:r>
    </w:p>
    <w:p w14:paraId="6DDFE050">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1.财政支持政策。按相关规定对改建项目给予中央财政补助。</w:t>
      </w:r>
    </w:p>
    <w:p w14:paraId="0F30D005">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2.税收支持政策。市住房城乡建设委定期将各区认定的改建项目抄送市税务局，由税务机关落实税收优惠政策。</w:t>
      </w:r>
    </w:p>
    <w:p w14:paraId="2CCBD914">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3.水电气热价格优惠政策。供水、供电、供气、供热部门对取得保障性租赁住房项目认定书的项目，在项目运营期内水电气热收费价格按照居民标准执行。</w:t>
      </w:r>
    </w:p>
    <w:p w14:paraId="208D214E">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（六）运营和使用管理</w:t>
      </w:r>
    </w:p>
    <w:p w14:paraId="3F2AFA76">
      <w:pPr>
        <w:adjustRightInd w:val="0"/>
        <w:snapToGrid w:val="0"/>
        <w:spacing w:line="560" w:lineRule="exact"/>
        <w:ind w:firstLine="600" w:firstLineChars="200"/>
        <w:rPr>
          <w:rFonts w:eastAsia="仿宋_GB2312"/>
          <w:vanish w:val="0"/>
          <w:color w:val="000000"/>
          <w:spacing w:val="-6"/>
          <w:kern w:val="2"/>
          <w:sz w:val="32"/>
          <w:szCs w:val="32"/>
          <w:highlight w:val="none"/>
        </w:rPr>
      </w:pPr>
      <w:r>
        <w:rPr>
          <w:rFonts w:eastAsia="仿宋_GB2312"/>
          <w:vanish w:val="0"/>
          <w:color w:val="000000"/>
          <w:spacing w:val="-8"/>
          <w:kern w:val="2"/>
          <w:sz w:val="32"/>
          <w:szCs w:val="32"/>
          <w:highlight w:val="none"/>
        </w:rPr>
        <w:t>1.改建项目的运营主体应当为依法办理市场主体登记的住房租赁企业，项目开业运营前，应当通过天津市智慧住房建设租赁综合服务平台推送开业信息，办理住房租赁合同网签备案。改建项目应当落实本市保障性租赁住房有关要求，</w:t>
      </w:r>
      <w:r>
        <w:rPr>
          <w:rFonts w:eastAsia="仿宋_GB2312"/>
          <w:vanish w:val="0"/>
          <w:color w:val="000000"/>
          <w:spacing w:val="-6"/>
          <w:kern w:val="2"/>
          <w:sz w:val="32"/>
          <w:szCs w:val="32"/>
          <w:highlight w:val="none"/>
        </w:rPr>
        <w:t>主要面向新市民、青年人等群体提供租住服务。</w:t>
      </w:r>
    </w:p>
    <w:p w14:paraId="4420EB1D">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2.区住建委应当加强对改建项目</w:t>
      </w:r>
      <w:r>
        <w:rPr>
          <w:rFonts w:eastAsia="仿宋_GB2312"/>
          <w:vanish w:val="0"/>
          <w:color w:val="000000"/>
          <w:spacing w:val="-6"/>
          <w:kern w:val="2"/>
          <w:sz w:val="32"/>
          <w:szCs w:val="32"/>
          <w:highlight w:val="none"/>
        </w:rPr>
        <w:t>出租、运营等的监管，建立日常巡查检查机制，</w:t>
      </w:r>
      <w:r>
        <w:rPr>
          <w:rFonts w:hint="eastAsia" w:hAnsi="黑体"/>
          <w:color w:val="000000"/>
          <w:spacing w:val="-6"/>
          <w:szCs w:val="32"/>
          <w:highlight w:val="none"/>
        </w:rPr>
        <w:t>并形成检查台账，明确问题项目、整改措施、完成时限等，</w:t>
      </w:r>
      <w:r>
        <w:rPr>
          <w:rFonts w:eastAsia="仿宋_GB2312"/>
          <w:vanish w:val="0"/>
          <w:color w:val="000000"/>
          <w:spacing w:val="-6"/>
          <w:kern w:val="2"/>
          <w:sz w:val="32"/>
          <w:szCs w:val="32"/>
          <w:highlight w:val="none"/>
        </w:rPr>
        <w:t>各区住建委应当每年对本区改建项目进行不少于一次的全覆盖检查，每两年进行一次集中核查</w:t>
      </w:r>
      <w:r>
        <w:rPr>
          <w:rFonts w:eastAsia="仿宋_GB2312"/>
          <w:vanish w:val="0"/>
          <w:color w:val="000000"/>
          <w:spacing w:val="-8"/>
          <w:kern w:val="2"/>
          <w:sz w:val="32"/>
          <w:szCs w:val="32"/>
          <w:highlight w:val="none"/>
        </w:rPr>
        <w:t>，对违反我市租赁住房有关规定的依法依规予以查处。</w:t>
      </w:r>
    </w:p>
    <w:p w14:paraId="7EF50570">
      <w:pPr>
        <w:adjustRightInd w:val="0"/>
        <w:snapToGrid w:val="0"/>
        <w:spacing w:line="560" w:lineRule="exact"/>
        <w:ind w:firstLine="600" w:firstLineChars="200"/>
        <w:rPr>
          <w:rFonts w:eastAsia="楷体_GB2312"/>
          <w:vanish w:val="0"/>
          <w:color w:val="000000"/>
          <w:spacing w:val="-8"/>
          <w:kern w:val="2"/>
          <w:sz w:val="32"/>
          <w:szCs w:val="32"/>
          <w:highlight w:val="none"/>
        </w:rPr>
      </w:pPr>
      <w:r>
        <w:rPr>
          <w:vanish w:val="0"/>
          <w:color w:val="000000"/>
          <w:spacing w:val="-8"/>
          <w:kern w:val="2"/>
          <w:sz w:val="32"/>
          <w:szCs w:val="32"/>
          <w:highlight w:val="none"/>
        </w:rPr>
        <w:t>3</w:t>
      </w:r>
      <w:r>
        <w:rPr>
          <w:rFonts w:eastAsia="仿宋_GB2312"/>
          <w:vanish w:val="0"/>
          <w:color w:val="000000"/>
          <w:spacing w:val="-8"/>
          <w:kern w:val="2"/>
          <w:sz w:val="32"/>
          <w:szCs w:val="32"/>
          <w:highlight w:val="none"/>
        </w:rPr>
        <w:t>.对存在提供虚假资料、未落实本市保障性租赁住房管理政策等违法违规行为的，区有关部门可以采取限期改正、终止改建行为、纳入信用监管、取消水电气热价格和税收优惠等处置措施；涉嫌违法的，由相应主管部门立案查处；涉嫌犯罪的，移送司法机关处理。</w:t>
      </w:r>
    </w:p>
    <w:p w14:paraId="0A7E35DE">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（七）退出管理</w:t>
      </w:r>
    </w:p>
    <w:p w14:paraId="6565AC99">
      <w:pPr>
        <w:numPr>
          <w:ilvl w:val="0"/>
          <w:numId w:val="3"/>
        </w:numPr>
        <w:adjustRightInd w:val="0"/>
        <w:snapToGrid w:val="0"/>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改建项目运营年限期满前1年，区住建委将项目运营年限情况向</w:t>
      </w:r>
      <w:r>
        <w:rPr>
          <w:vanish w:val="0"/>
          <w:color w:val="000000"/>
          <w:spacing w:val="-8"/>
          <w:kern w:val="2"/>
          <w:sz w:val="32"/>
          <w:szCs w:val="32"/>
          <w:highlight w:val="none"/>
        </w:rPr>
        <w:t>不动产权利人</w:t>
      </w:r>
      <w:r>
        <w:rPr>
          <w:rFonts w:eastAsia="仿宋_GB2312"/>
          <w:vanish w:val="0"/>
          <w:color w:val="000000"/>
          <w:spacing w:val="-8"/>
          <w:kern w:val="2"/>
          <w:sz w:val="32"/>
          <w:szCs w:val="32"/>
          <w:highlight w:val="none"/>
        </w:rPr>
        <w:t>、运营主体等作出提示。</w:t>
      </w:r>
      <w:r>
        <w:rPr>
          <w:rFonts w:hint="eastAsia"/>
          <w:spacing w:val="-8"/>
          <w:szCs w:val="32"/>
          <w:highlight w:val="none"/>
          <w:lang w:eastAsia="zh-CN"/>
        </w:rPr>
        <w:t>不动产权利人</w:t>
      </w:r>
      <w:r>
        <w:rPr>
          <w:rFonts w:hint="eastAsia" w:ascii="仿宋_GB2312" w:hAnsi="仿宋_GB2312" w:eastAsia="仿宋_GB2312" w:cs="仿宋_GB2312"/>
          <w:spacing w:val="-8"/>
          <w:szCs w:val="32"/>
          <w:highlight w:val="none"/>
        </w:rPr>
        <w:t>应当于运营年限届</w:t>
      </w:r>
      <w:r>
        <w:rPr>
          <w:spacing w:val="-8"/>
          <w:szCs w:val="32"/>
          <w:highlight w:val="none"/>
        </w:rPr>
        <w:t>满前6个月</w:t>
      </w:r>
      <w:r>
        <w:rPr>
          <w:rFonts w:eastAsia="仿宋_GB2312"/>
          <w:vanish w:val="0"/>
          <w:color w:val="000000"/>
          <w:spacing w:val="-8"/>
          <w:kern w:val="2"/>
          <w:sz w:val="32"/>
          <w:szCs w:val="32"/>
          <w:highlight w:val="none"/>
        </w:rPr>
        <w:t>，</w:t>
      </w:r>
      <w:r>
        <w:rPr>
          <w:spacing w:val="-8"/>
          <w:szCs w:val="32"/>
          <w:highlight w:val="none"/>
        </w:rPr>
        <w:t>向区住建委提出</w:t>
      </w:r>
      <w:r>
        <w:rPr>
          <w:rFonts w:hint="eastAsia"/>
          <w:spacing w:val="-8"/>
          <w:szCs w:val="32"/>
          <w:highlight w:val="none"/>
          <w:lang w:eastAsia="zh-CN"/>
        </w:rPr>
        <w:t>保障性租赁住房项目</w:t>
      </w:r>
      <w:r>
        <w:rPr>
          <w:spacing w:val="-8"/>
          <w:szCs w:val="32"/>
          <w:highlight w:val="none"/>
        </w:rPr>
        <w:t>续期</w:t>
      </w:r>
      <w:r>
        <w:rPr>
          <w:rFonts w:hint="eastAsia"/>
          <w:spacing w:val="-8"/>
          <w:szCs w:val="32"/>
          <w:highlight w:val="none"/>
          <w:lang w:eastAsia="zh-CN"/>
        </w:rPr>
        <w:t>或退出</w:t>
      </w:r>
      <w:r>
        <w:rPr>
          <w:spacing w:val="-8"/>
          <w:szCs w:val="32"/>
          <w:highlight w:val="none"/>
        </w:rPr>
        <w:t>申请，</w:t>
      </w:r>
      <w:r>
        <w:rPr>
          <w:rFonts w:hint="eastAsia" w:ascii="仿宋_GB2312" w:hAnsi="仿宋_GB2312" w:eastAsia="仿宋_GB2312" w:cs="仿宋_GB2312"/>
          <w:spacing w:val="-8"/>
          <w:szCs w:val="32"/>
          <w:highlight w:val="none"/>
        </w:rPr>
        <w:t>由区住建委报</w:t>
      </w:r>
      <w:r>
        <w:rPr>
          <w:rFonts w:hint="eastAsia" w:ascii="仿宋_GB2312" w:hAnsi="仿宋_GB2312" w:eastAsia="仿宋_GB2312" w:cs="仿宋_GB2312"/>
          <w:spacing w:val="-8"/>
          <w:szCs w:val="32"/>
          <w:highlight w:val="none"/>
          <w:lang w:eastAsia="zh-CN"/>
        </w:rPr>
        <w:t>原批准单位</w:t>
      </w:r>
      <w:r>
        <w:rPr>
          <w:rFonts w:hint="eastAsia" w:ascii="仿宋_GB2312" w:hAnsi="仿宋_GB2312" w:eastAsia="仿宋_GB2312" w:cs="仿宋_GB2312"/>
          <w:spacing w:val="-8"/>
          <w:szCs w:val="32"/>
          <w:highlight w:val="none"/>
        </w:rPr>
        <w:t>同意</w:t>
      </w:r>
      <w:r>
        <w:rPr>
          <w:rFonts w:hint="eastAsia" w:ascii="黑体" w:hAnsi="黑体" w:eastAsia="黑体" w:cs="黑体"/>
          <w:spacing w:val="-8"/>
          <w:szCs w:val="32"/>
          <w:highlight w:val="none"/>
          <w:lang w:eastAsia="zh-CN"/>
        </w:rPr>
        <w:t>。</w:t>
      </w:r>
    </w:p>
    <w:p w14:paraId="3F13D845">
      <w:pPr>
        <w:numPr>
          <w:ilvl w:val="0"/>
          <w:numId w:val="3"/>
        </w:numPr>
        <w:adjustRightInd w:val="0"/>
        <w:snapToGrid w:val="0"/>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退出保障性租赁住房的项目</w:t>
      </w:r>
      <w:r>
        <w:rPr>
          <w:vanish w:val="0"/>
          <w:color w:val="000000"/>
          <w:spacing w:val="-8"/>
          <w:kern w:val="2"/>
          <w:sz w:val="32"/>
          <w:szCs w:val="32"/>
          <w:highlight w:val="none"/>
        </w:rPr>
        <w:t>不动产权利人、</w:t>
      </w:r>
      <w:r>
        <w:rPr>
          <w:rFonts w:eastAsia="仿宋_GB2312"/>
          <w:vanish w:val="0"/>
          <w:color w:val="000000"/>
          <w:spacing w:val="-8"/>
          <w:kern w:val="2"/>
          <w:sz w:val="32"/>
          <w:szCs w:val="32"/>
          <w:highlight w:val="none"/>
        </w:rPr>
        <w:t>实施主体和运营主体做好承租人解约工作</w:t>
      </w:r>
      <w:r>
        <w:rPr>
          <w:vanish w:val="0"/>
          <w:color w:val="000000"/>
          <w:spacing w:val="-8"/>
          <w:kern w:val="2"/>
          <w:sz w:val="32"/>
          <w:szCs w:val="32"/>
          <w:highlight w:val="none"/>
        </w:rPr>
        <w:t>后，</w:t>
      </w:r>
      <w:r>
        <w:rPr>
          <w:rFonts w:eastAsia="仿宋_GB2312"/>
          <w:vanish w:val="0"/>
          <w:color w:val="000000"/>
          <w:spacing w:val="-8"/>
          <w:kern w:val="2"/>
          <w:sz w:val="32"/>
          <w:szCs w:val="32"/>
          <w:highlight w:val="none"/>
        </w:rPr>
        <w:t>区住建委</w:t>
      </w:r>
      <w:r>
        <w:rPr>
          <w:vanish w:val="0"/>
          <w:color w:val="000000"/>
          <w:spacing w:val="-8"/>
          <w:kern w:val="2"/>
          <w:sz w:val="32"/>
          <w:szCs w:val="32"/>
          <w:highlight w:val="none"/>
        </w:rPr>
        <w:t>应当</w:t>
      </w:r>
      <w:r>
        <w:rPr>
          <w:rFonts w:eastAsia="仿宋_GB2312"/>
          <w:vanish w:val="0"/>
          <w:color w:val="000000"/>
          <w:spacing w:val="-8"/>
          <w:kern w:val="2"/>
          <w:sz w:val="32"/>
          <w:szCs w:val="32"/>
          <w:highlight w:val="none"/>
        </w:rPr>
        <w:t>将退出项目情况抄送发展改革、规划资源、城市管理等部门，由相应部门将项目房屋及水电气热价格等纳入原用途管理。</w:t>
      </w:r>
    </w:p>
    <w:p w14:paraId="18C8B9FE">
      <w:pPr>
        <w:numPr>
          <w:ilvl w:val="0"/>
          <w:numId w:val="3"/>
        </w:numPr>
        <w:adjustRightInd w:val="0"/>
        <w:snapToGrid w:val="0"/>
        <w:spacing w:line="560" w:lineRule="exact"/>
        <w:ind w:left="0"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改建项目运营年限期满后，</w:t>
      </w:r>
      <w:r>
        <w:rPr>
          <w:vanish w:val="0"/>
          <w:color w:val="000000"/>
          <w:spacing w:val="-8"/>
          <w:kern w:val="2"/>
          <w:sz w:val="32"/>
          <w:szCs w:val="32"/>
          <w:highlight w:val="none"/>
        </w:rPr>
        <w:t>不动产权利人</w:t>
      </w:r>
      <w:r>
        <w:rPr>
          <w:rFonts w:eastAsia="仿宋_GB2312"/>
          <w:vanish w:val="0"/>
          <w:color w:val="000000"/>
          <w:spacing w:val="-8"/>
          <w:kern w:val="2"/>
          <w:sz w:val="32"/>
          <w:szCs w:val="32"/>
          <w:highlight w:val="none"/>
        </w:rPr>
        <w:t>未申请续期或未获批续期，且未按期申请退出的，视为擅自改变房屋用途、非法改变土地用途，由区人民政府组织相关部门依法查处。</w:t>
      </w:r>
    </w:p>
    <w:p w14:paraId="7B94C6D8">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黑体"/>
          <w:vanish w:val="0"/>
          <w:color w:val="000000"/>
          <w:spacing w:val="-8"/>
          <w:kern w:val="2"/>
          <w:sz w:val="32"/>
          <w:szCs w:val="32"/>
          <w:highlight w:val="none"/>
        </w:rPr>
        <w:t>五、工作要求</w:t>
      </w:r>
    </w:p>
    <w:p w14:paraId="6AAAAA08">
      <w:pPr>
        <w:adjustRightInd w:val="0"/>
        <w:snapToGrid w:val="0"/>
        <w:spacing w:line="560" w:lineRule="exact"/>
        <w:ind w:firstLine="600" w:firstLineChars="200"/>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（一）加强协同联动</w:t>
      </w:r>
    </w:p>
    <w:p w14:paraId="1CF7627F">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市住房城乡建设委会同市有关部门编制我市保障性租赁住房年度建设计划，加强对各区改建保障性租赁住房工作的组织协调、监督指导和</w:t>
      </w:r>
      <w:r>
        <w:rPr>
          <w:rFonts w:eastAsia="仿宋_GB2312"/>
          <w:vanish w:val="0"/>
          <w:color w:val="000000"/>
          <w:spacing w:val="-6"/>
          <w:kern w:val="2"/>
          <w:sz w:val="32"/>
          <w:szCs w:val="32"/>
          <w:highlight w:val="none"/>
        </w:rPr>
        <w:t>监测评价，</w:t>
      </w:r>
      <w:r>
        <w:rPr>
          <w:rFonts w:eastAsia="仿宋_GB2312"/>
          <w:vanish w:val="0"/>
          <w:color w:val="000000"/>
          <w:spacing w:val="-8"/>
          <w:kern w:val="2"/>
          <w:sz w:val="32"/>
          <w:szCs w:val="32"/>
          <w:highlight w:val="none"/>
        </w:rPr>
        <w:t>定期开展调研、督导</w:t>
      </w:r>
      <w:r>
        <w:rPr>
          <w:rFonts w:eastAsia="仿宋_GB2312"/>
          <w:vanish w:val="0"/>
          <w:color w:val="000000"/>
          <w:spacing w:val="-6"/>
          <w:kern w:val="2"/>
          <w:sz w:val="32"/>
          <w:szCs w:val="32"/>
          <w:highlight w:val="none"/>
        </w:rPr>
        <w:t>，及时协调解决改建工作中遇到的问题</w:t>
      </w:r>
      <w:r>
        <w:rPr>
          <w:rFonts w:eastAsia="仿宋_GB2312"/>
          <w:vanish w:val="0"/>
          <w:color w:val="000000"/>
          <w:spacing w:val="-8"/>
          <w:kern w:val="2"/>
          <w:sz w:val="32"/>
          <w:szCs w:val="32"/>
          <w:highlight w:val="none"/>
        </w:rPr>
        <w:t>。各区人民政府要</w:t>
      </w:r>
      <w:r>
        <w:rPr>
          <w:rFonts w:eastAsia="仿宋_GB2312"/>
          <w:vanish w:val="0"/>
          <w:color w:val="000000"/>
          <w:spacing w:val="-6"/>
          <w:kern w:val="2"/>
          <w:sz w:val="32"/>
          <w:szCs w:val="32"/>
          <w:highlight w:val="none"/>
        </w:rPr>
        <w:t>指导相关部门落实改建项目的立项、用地、规划、施工、消防等手续，严格保障性租赁住房建设、出租、运营全过程监督管理。</w:t>
      </w:r>
      <w:r>
        <w:rPr>
          <w:rFonts w:eastAsia="仿宋_GB2312"/>
          <w:vanish w:val="0"/>
          <w:color w:val="000000"/>
          <w:spacing w:val="-8"/>
          <w:kern w:val="2"/>
          <w:sz w:val="32"/>
          <w:szCs w:val="32"/>
          <w:highlight w:val="none"/>
        </w:rPr>
        <w:t>各区、各有关部门应当精简项目审批事项和环节，构建快速审批流程，提高项目审批效率。</w:t>
      </w:r>
    </w:p>
    <w:p w14:paraId="7DD72E9D">
      <w:pPr>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 xml:space="preserve">    （二）落实安全责任</w:t>
      </w:r>
    </w:p>
    <w:p w14:paraId="7C94B258">
      <w:pPr>
        <w:rPr>
          <w:highlight w:val="none"/>
        </w:rPr>
      </w:pPr>
      <w:r>
        <w:rPr>
          <w:rFonts w:hint="eastAsia"/>
          <w:vanish w:val="0"/>
          <w:color w:val="000000"/>
          <w:spacing w:val="-8"/>
          <w:kern w:val="2"/>
          <w:sz w:val="32"/>
          <w:szCs w:val="32"/>
          <w:highlight w:val="none"/>
          <w:lang w:val="en-US" w:eastAsia="zh-CN"/>
        </w:rPr>
        <w:t xml:space="preserve">    </w:t>
      </w:r>
      <w:r>
        <w:rPr>
          <w:rFonts w:eastAsia="仿宋_GB2312"/>
          <w:vanish w:val="0"/>
          <w:color w:val="000000"/>
          <w:spacing w:val="-8"/>
          <w:kern w:val="2"/>
          <w:sz w:val="32"/>
          <w:szCs w:val="32"/>
          <w:highlight w:val="none"/>
        </w:rPr>
        <w:t>改建项目</w:t>
      </w:r>
      <w:r>
        <w:rPr>
          <w:vanish w:val="0"/>
          <w:color w:val="000000"/>
          <w:spacing w:val="-8"/>
          <w:kern w:val="2"/>
          <w:sz w:val="32"/>
          <w:szCs w:val="32"/>
          <w:highlight w:val="none"/>
        </w:rPr>
        <w:t>不动</w:t>
      </w:r>
      <w:r>
        <w:rPr>
          <w:rFonts w:eastAsia="仿宋_GB2312"/>
          <w:vanish w:val="0"/>
          <w:color w:val="000000"/>
          <w:spacing w:val="-8"/>
          <w:kern w:val="2"/>
          <w:sz w:val="32"/>
          <w:szCs w:val="32"/>
          <w:highlight w:val="none"/>
        </w:rPr>
        <w:t>产权</w:t>
      </w:r>
      <w:r>
        <w:rPr>
          <w:vanish w:val="0"/>
          <w:color w:val="000000"/>
          <w:spacing w:val="-8"/>
          <w:kern w:val="2"/>
          <w:sz w:val="32"/>
          <w:szCs w:val="32"/>
          <w:highlight w:val="none"/>
        </w:rPr>
        <w:t>利</w:t>
      </w:r>
      <w:r>
        <w:rPr>
          <w:rFonts w:eastAsia="仿宋_GB2312"/>
          <w:vanish w:val="0"/>
          <w:color w:val="000000"/>
          <w:spacing w:val="-8"/>
          <w:kern w:val="2"/>
          <w:sz w:val="32"/>
          <w:szCs w:val="32"/>
          <w:highlight w:val="none"/>
        </w:rPr>
        <w:t>人应当承担房屋使用安全主体责任，改建项目实施主体和运营主体依法承担相应安全责任。改建项目运营主体应当建立完善的房屋安全使用管理和突发事件应急预警处置制度，定期对房屋安全进行检查，确保租赁住房符合运营维护管理相关要求。落实消防安全责任制，配备符合规定的消防设施、器材，保持疏散通道、安全出口、消防车通道畅通，</w:t>
      </w:r>
      <w:r>
        <w:rPr>
          <w:rFonts w:hint="eastAsia" w:eastAsia="仿宋_GB2312"/>
          <w:vanish w:val="0"/>
          <w:color w:val="000000"/>
          <w:spacing w:val="-8"/>
          <w:kern w:val="2"/>
          <w:sz w:val="32"/>
          <w:szCs w:val="32"/>
          <w:highlight w:val="none"/>
        </w:rPr>
        <w:t>定期开展消防安全检查，</w:t>
      </w:r>
      <w:r>
        <w:rPr>
          <w:rFonts w:eastAsia="仿宋_GB2312"/>
          <w:vanish w:val="0"/>
          <w:color w:val="000000"/>
          <w:spacing w:val="-8"/>
          <w:kern w:val="2"/>
          <w:sz w:val="32"/>
          <w:szCs w:val="32"/>
          <w:highlight w:val="none"/>
        </w:rPr>
        <w:t>确保房屋住用安全。</w:t>
      </w:r>
    </w:p>
    <w:p w14:paraId="4C66D03A">
      <w:pPr>
        <w:rPr>
          <w:rFonts w:eastAsia="楷体_GB2312"/>
          <w:vanish w:val="0"/>
          <w:color w:val="000000"/>
          <w:spacing w:val="-8"/>
          <w:kern w:val="2"/>
          <w:sz w:val="32"/>
          <w:szCs w:val="32"/>
          <w:highlight w:val="none"/>
        </w:rPr>
      </w:pPr>
      <w:r>
        <w:rPr>
          <w:rFonts w:eastAsia="楷体_GB2312"/>
          <w:vanish w:val="0"/>
          <w:color w:val="000000"/>
          <w:spacing w:val="-8"/>
          <w:kern w:val="2"/>
          <w:sz w:val="32"/>
          <w:szCs w:val="32"/>
          <w:highlight w:val="none"/>
        </w:rPr>
        <w:t xml:space="preserve">    （三）做好政策衔接</w:t>
      </w:r>
    </w:p>
    <w:p w14:paraId="2FD80E8D">
      <w:pPr>
        <w:rPr>
          <w:highlight w:val="none"/>
        </w:rPr>
      </w:pPr>
      <w:r>
        <w:rPr>
          <w:rFonts w:hint="eastAsia"/>
          <w:vanish w:val="0"/>
          <w:color w:val="000000"/>
          <w:spacing w:val="-8"/>
          <w:kern w:val="2"/>
          <w:sz w:val="32"/>
          <w:szCs w:val="32"/>
          <w:highlight w:val="none"/>
          <w:lang w:val="en-US" w:eastAsia="zh-CN"/>
        </w:rPr>
        <w:t xml:space="preserve">    </w:t>
      </w:r>
      <w:r>
        <w:rPr>
          <w:rFonts w:eastAsia="仿宋_GB2312"/>
          <w:vanish w:val="0"/>
          <w:color w:val="000000"/>
          <w:spacing w:val="-8"/>
          <w:kern w:val="2"/>
          <w:sz w:val="32"/>
          <w:szCs w:val="32"/>
          <w:highlight w:val="none"/>
        </w:rPr>
        <w:t>2021年11月17日前，利用非居住存量房屋改建的租赁住房项目，应当提供符合要求的房屋安全鉴定报告、消防验收手续，由项目所在地的区住建委集中组织联合认定部门进行认定，经认定符合条件的，出具联合认定意见，认定为保障性租赁住房项目；经认定不符合条件的已改建项目，由区人民政府督促相关主体在本意见印发后3个月内进行改造，无法达到要求的依法依规予以处置。已按照《天津市人才公寓认定支持办法（试行）》（津人才办〔2019〕2号）认定为天津市人才公寓的利用非居住存量房屋改建项目，可以不再重复进行认定，直接出具保障性租赁住房项目认定书，按规定纳入全市统一管理。</w:t>
      </w:r>
    </w:p>
    <w:p w14:paraId="3414EBB8">
      <w:pPr>
        <w:adjustRightInd w:val="0"/>
        <w:snapToGrid w:val="0"/>
        <w:spacing w:line="560" w:lineRule="exact"/>
        <w:ind w:firstLine="600" w:firstLineChars="200"/>
        <w:rPr>
          <w:rFonts w:eastAsia="黑体"/>
          <w:vanish w:val="0"/>
          <w:color w:val="000000"/>
          <w:spacing w:val="-8"/>
          <w:kern w:val="2"/>
          <w:sz w:val="32"/>
          <w:szCs w:val="32"/>
          <w:highlight w:val="none"/>
        </w:rPr>
      </w:pPr>
      <w:r>
        <w:rPr>
          <w:rFonts w:eastAsia="仿宋_GB2312"/>
          <w:vanish w:val="0"/>
          <w:color w:val="000000"/>
          <w:spacing w:val="-8"/>
          <w:kern w:val="2"/>
          <w:sz w:val="32"/>
          <w:szCs w:val="32"/>
          <w:highlight w:val="none"/>
        </w:rPr>
        <w:t>本指导意见自印发之日起施行，有效期五年。</w:t>
      </w:r>
    </w:p>
    <w:p w14:paraId="2770E717">
      <w:pPr>
        <w:adjustRightInd w:val="0"/>
        <w:snapToGrid w:val="0"/>
        <w:spacing w:line="560" w:lineRule="exact"/>
        <w:ind w:firstLine="600" w:firstLineChars="200"/>
        <w:rPr>
          <w:rFonts w:eastAsia="仿宋_GB2312"/>
          <w:vanish w:val="0"/>
          <w:color w:val="000000"/>
          <w:spacing w:val="-8"/>
          <w:kern w:val="2"/>
          <w:sz w:val="32"/>
          <w:szCs w:val="32"/>
          <w:highlight w:val="none"/>
        </w:rPr>
      </w:pPr>
    </w:p>
    <w:p w14:paraId="28F57D70">
      <w:pPr>
        <w:adjustRightInd w:val="0"/>
        <w:snapToGrid w:val="0"/>
        <w:spacing w:line="560" w:lineRule="exact"/>
        <w:ind w:firstLine="600" w:firstLineChars="2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附件：1.保障性租赁住房项目改建申请书</w:t>
      </w:r>
    </w:p>
    <w:p w14:paraId="0047D68B">
      <w:pPr>
        <w:adjustRightInd w:val="0"/>
        <w:snapToGrid w:val="0"/>
        <w:spacing w:line="560" w:lineRule="exact"/>
        <w:ind w:firstLine="1500" w:firstLineChars="500"/>
        <w:rPr>
          <w:rFonts w:eastAsia="仿宋_GB2312"/>
          <w:vanish w:val="0"/>
          <w:color w:val="000000"/>
          <w:spacing w:val="-8"/>
          <w:kern w:val="2"/>
          <w:sz w:val="32"/>
          <w:szCs w:val="32"/>
          <w:highlight w:val="none"/>
        </w:rPr>
      </w:pPr>
      <w:r>
        <w:rPr>
          <w:rFonts w:eastAsia="仿宋_GB2312"/>
          <w:vanish w:val="0"/>
          <w:color w:val="000000"/>
          <w:spacing w:val="-8"/>
          <w:kern w:val="2"/>
          <w:sz w:val="32"/>
          <w:szCs w:val="32"/>
          <w:highlight w:val="none"/>
        </w:rPr>
        <w:t>2.保障性租赁住房项目退出申请书</w:t>
      </w:r>
    </w:p>
    <w:p w14:paraId="7B2BC080">
      <w:pPr>
        <w:adjustRightInd w:val="0"/>
        <w:snapToGrid w:val="0"/>
        <w:spacing w:line="560" w:lineRule="exact"/>
        <w:rPr>
          <w:rFonts w:eastAsia="仿宋_GB2312"/>
          <w:vanish w:val="0"/>
          <w:color w:val="000000"/>
          <w:spacing w:val="-8"/>
          <w:kern w:val="2"/>
          <w:sz w:val="32"/>
          <w:szCs w:val="32"/>
          <w:highlight w:val="none"/>
        </w:rPr>
      </w:pPr>
    </w:p>
    <w:p w14:paraId="427292D6">
      <w:pPr>
        <w:kinsoku/>
        <w:wordWrap/>
        <w:overflowPunct w:val="0"/>
        <w:topLinePunct w:val="0"/>
        <w:autoSpaceDE/>
        <w:autoSpaceDN/>
        <w:rPr>
          <w:rFonts w:eastAsia="黑体"/>
          <w:vanish w:val="0"/>
          <w:color w:val="000000"/>
          <w:spacing w:val="-8"/>
          <w:kern w:val="2"/>
          <w:sz w:val="32"/>
          <w:szCs w:val="32"/>
          <w:highlight w:val="none"/>
        </w:rPr>
      </w:pPr>
      <w:r>
        <w:rPr>
          <w:rFonts w:eastAsia="黑体"/>
          <w:vanish w:val="0"/>
          <w:color w:val="000000"/>
          <w:spacing w:val="-8"/>
          <w:kern w:val="2"/>
          <w:sz w:val="32"/>
          <w:szCs w:val="32"/>
          <w:highlight w:val="none"/>
        </w:rPr>
        <w:br w:type="page"/>
      </w:r>
      <w:r>
        <w:rPr>
          <w:rFonts w:eastAsia="黑体"/>
          <w:vanish w:val="0"/>
          <w:color w:val="000000"/>
          <w:spacing w:val="-8"/>
          <w:kern w:val="2"/>
          <w:sz w:val="32"/>
          <w:szCs w:val="32"/>
          <w:highlight w:val="none"/>
        </w:rPr>
        <w:t>附件1</w:t>
      </w:r>
    </w:p>
    <w:p w14:paraId="402E440A">
      <w:pPr>
        <w:kinsoku/>
        <w:wordWrap/>
        <w:overflowPunct w:val="0"/>
        <w:topLinePunct w:val="0"/>
        <w:autoSpaceDE/>
        <w:autoSpaceDN/>
        <w:rPr>
          <w:rFonts w:eastAsia="黑体"/>
          <w:vanish w:val="0"/>
          <w:color w:val="000000"/>
          <w:spacing w:val="-8"/>
          <w:kern w:val="2"/>
          <w:sz w:val="32"/>
          <w:szCs w:val="32"/>
          <w:highlight w:val="none"/>
        </w:rPr>
      </w:pPr>
    </w:p>
    <w:p w14:paraId="1E25DCEC">
      <w:pPr>
        <w:kinsoku/>
        <w:wordWrap/>
        <w:overflowPunct w:val="0"/>
        <w:topLinePunct w:val="0"/>
        <w:autoSpaceDE/>
        <w:autoSpaceDN/>
        <w:jc w:val="center"/>
        <w:rPr>
          <w:rFonts w:eastAsia="方正小标宋简体"/>
          <w:vanish w:val="0"/>
          <w:color w:val="auto"/>
          <w:spacing w:val="-6"/>
          <w:kern w:val="2"/>
          <w:sz w:val="44"/>
          <w:szCs w:val="44"/>
          <w:highlight w:val="none"/>
        </w:rPr>
      </w:pPr>
      <w:r>
        <w:rPr>
          <w:rFonts w:eastAsia="方正小标宋简体"/>
          <w:vanish w:val="0"/>
          <w:color w:val="auto"/>
          <w:spacing w:val="-6"/>
          <w:kern w:val="2"/>
          <w:sz w:val="44"/>
          <w:szCs w:val="44"/>
          <w:highlight w:val="none"/>
        </w:rPr>
        <w:t>保障性租赁住房项目改建申请书</w:t>
      </w:r>
    </w:p>
    <w:p w14:paraId="2FF426D7">
      <w:pPr>
        <w:kinsoku/>
        <w:wordWrap/>
        <w:overflowPunct w:val="0"/>
        <w:topLinePunct w:val="0"/>
        <w:autoSpaceDE/>
        <w:autoSpaceDN/>
        <w:jc w:val="left"/>
        <w:rPr>
          <w:rFonts w:eastAsia="仿宋_GB2312"/>
          <w:vanish w:val="0"/>
          <w:color w:val="auto"/>
          <w:spacing w:val="-6"/>
          <w:kern w:val="2"/>
          <w:sz w:val="32"/>
          <w:szCs w:val="32"/>
          <w:highlight w:val="none"/>
        </w:rPr>
      </w:pPr>
    </w:p>
    <w:p w14:paraId="1AFEFA93">
      <w:pPr>
        <w:kinsoku/>
        <w:wordWrap/>
        <w:overflowPunct w:val="0"/>
        <w:topLinePunct w:val="0"/>
        <w:autoSpaceDE/>
        <w:autoSpaceDN/>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XX区住建委：</w:t>
      </w:r>
    </w:p>
    <w:p w14:paraId="0221035C">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我单位申请将天津市</w:t>
      </w:r>
      <w:r>
        <w:rPr>
          <w:rFonts w:eastAsia="仿宋_GB2312"/>
          <w:vanish w:val="0"/>
          <w:color w:val="auto"/>
          <w:spacing w:val="-6"/>
          <w:kern w:val="2"/>
          <w:sz w:val="32"/>
          <w:szCs w:val="32"/>
          <w:highlight w:val="none"/>
          <w:u w:val="single"/>
        </w:rPr>
        <w:t xml:space="preserve">     </w:t>
      </w:r>
      <w:r>
        <w:rPr>
          <w:rFonts w:eastAsia="仿宋_GB2312"/>
          <w:vanish w:val="0"/>
          <w:color w:val="auto"/>
          <w:spacing w:val="-6"/>
          <w:kern w:val="2"/>
          <w:sz w:val="32"/>
          <w:szCs w:val="32"/>
          <w:highlight w:val="none"/>
        </w:rPr>
        <w:t>区</w:t>
      </w:r>
      <w:r>
        <w:rPr>
          <w:rFonts w:eastAsia="仿宋_GB2312"/>
          <w:vanish w:val="0"/>
          <w:color w:val="auto"/>
          <w:spacing w:val="-6"/>
          <w:kern w:val="2"/>
          <w:sz w:val="32"/>
          <w:szCs w:val="32"/>
          <w:highlight w:val="none"/>
          <w:u w:val="single"/>
        </w:rPr>
        <w:t xml:space="preserve">       </w:t>
      </w:r>
      <w:r>
        <w:rPr>
          <w:rFonts w:eastAsia="仿宋_GB2312"/>
          <w:vanish w:val="0"/>
          <w:color w:val="auto"/>
          <w:spacing w:val="-6"/>
          <w:kern w:val="2"/>
          <w:sz w:val="32"/>
          <w:szCs w:val="32"/>
          <w:highlight w:val="none"/>
        </w:rPr>
        <w:t>项目改建为保障性租赁住房，改建项目具体情况如下：</w:t>
      </w:r>
    </w:p>
    <w:p w14:paraId="6023661B">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1.项目名称、实施主体、项目地址；</w:t>
      </w:r>
    </w:p>
    <w:p w14:paraId="26CD5E7B">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2.</w:t>
      </w:r>
      <w:r>
        <w:rPr>
          <w:rFonts w:eastAsia="仿宋_GB2312"/>
          <w:vanish w:val="0"/>
          <w:color w:val="auto"/>
          <w:spacing w:val="6"/>
          <w:kern w:val="2"/>
          <w:sz w:val="32"/>
          <w:szCs w:val="32"/>
          <w:highlight w:val="none"/>
        </w:rPr>
        <w:t>房屋现状情况说明，包括现状用途、建筑规模等，项目的权属来源情况说明</w:t>
      </w:r>
      <w:r>
        <w:rPr>
          <w:rFonts w:eastAsia="仿宋_GB2312"/>
          <w:vanish w:val="0"/>
          <w:color w:val="auto"/>
          <w:spacing w:val="-6"/>
          <w:kern w:val="2"/>
          <w:sz w:val="32"/>
          <w:szCs w:val="32"/>
          <w:highlight w:val="none"/>
        </w:rPr>
        <w:t>；</w:t>
      </w:r>
    </w:p>
    <w:p w14:paraId="735D122F">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3.改建项目的投资规模、改建总面积、房源情况、运营期限；</w:t>
      </w:r>
    </w:p>
    <w:p w14:paraId="6D3629F7">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4.承诺：</w:t>
      </w:r>
      <w:r>
        <w:rPr>
          <w:rStyle w:val="38"/>
          <w:rFonts w:ascii="Times New Roman" w:hAnsi="Times New Roman" w:eastAsia="仿宋_GB2312"/>
          <w:vanish w:val="0"/>
          <w:color w:val="auto"/>
          <w:sz w:val="32"/>
          <w:szCs w:val="32"/>
          <w:highlight w:val="none"/>
        </w:rPr>
        <w:t>对提供材料的真实性负责；改建后只用于保障性租赁住房使用，不“以租代售”，不分割登记、分割抵押、分割销售或分割转让；遵守本市住房租赁管理的相关法律法规规定；落实各项安全责任；服从本市房屋征收、拆除等城市建设发展需要</w:t>
      </w:r>
      <w:r>
        <w:rPr>
          <w:rFonts w:eastAsia="仿宋_GB2312"/>
          <w:vanish w:val="0"/>
          <w:color w:val="auto"/>
          <w:spacing w:val="-6"/>
          <w:kern w:val="2"/>
          <w:sz w:val="32"/>
          <w:szCs w:val="32"/>
          <w:highlight w:val="none"/>
        </w:rPr>
        <w:t>。</w:t>
      </w:r>
    </w:p>
    <w:p w14:paraId="10C46CFA">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5.其他。</w:t>
      </w:r>
    </w:p>
    <w:p w14:paraId="53B3B196">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特此申请。</w:t>
      </w:r>
    </w:p>
    <w:p w14:paraId="3E238DD2">
      <w:pPr>
        <w:kinsoku/>
        <w:wordWrap/>
        <w:overflowPunct w:val="0"/>
        <w:topLinePunct w:val="0"/>
        <w:autoSpaceDE/>
        <w:autoSpaceDN/>
        <w:jc w:val="left"/>
        <w:rPr>
          <w:rFonts w:eastAsia="仿宋_GB2312"/>
          <w:vanish w:val="0"/>
          <w:color w:val="auto"/>
          <w:spacing w:val="-6"/>
          <w:kern w:val="2"/>
          <w:sz w:val="32"/>
          <w:szCs w:val="32"/>
          <w:highlight w:val="none"/>
        </w:rPr>
      </w:pPr>
    </w:p>
    <w:p w14:paraId="0EBE8507">
      <w:pPr>
        <w:kinsoku/>
        <w:wordWrap/>
        <w:overflowPunct w:val="0"/>
        <w:topLinePunct w:val="0"/>
        <w:autoSpaceDE/>
        <w:autoSpaceDN/>
        <w:ind w:firstLine="608" w:firstLineChars="2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附：1.权属证明材料</w:t>
      </w:r>
    </w:p>
    <w:p w14:paraId="11180486">
      <w:pPr>
        <w:kinsoku/>
        <w:wordWrap/>
        <w:overflowPunct w:val="0"/>
        <w:topLinePunct w:val="0"/>
        <w:autoSpaceDE/>
        <w:autoSpaceDN/>
        <w:ind w:firstLine="1216" w:firstLineChars="4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 xml:space="preserve">2.实施主体营业执照及法定代表人身份证明材料 </w:t>
      </w:r>
    </w:p>
    <w:p w14:paraId="3798F352">
      <w:pPr>
        <w:kinsoku/>
        <w:wordWrap/>
        <w:overflowPunct w:val="0"/>
        <w:topLinePunct w:val="0"/>
        <w:autoSpaceDE/>
        <w:autoSpaceDN/>
        <w:ind w:firstLine="1216" w:firstLineChars="4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3.项目改建方案</w:t>
      </w:r>
    </w:p>
    <w:p w14:paraId="4FC4310D">
      <w:pPr>
        <w:kinsoku/>
        <w:wordWrap/>
        <w:overflowPunct w:val="0"/>
        <w:topLinePunct w:val="0"/>
        <w:autoSpaceDE/>
        <w:autoSpaceDN/>
        <w:ind w:firstLine="1216" w:firstLineChars="400"/>
        <w:jc w:val="left"/>
        <w:rPr>
          <w:spacing w:val="-6"/>
          <w:szCs w:val="32"/>
          <w:highlight w:val="none"/>
        </w:rPr>
      </w:pPr>
      <w:r>
        <w:rPr>
          <w:spacing w:val="-6"/>
          <w:szCs w:val="32"/>
          <w:highlight w:val="none"/>
        </w:rPr>
        <w:t>4.房屋安全鉴定报告</w:t>
      </w:r>
    </w:p>
    <w:p w14:paraId="0455DD8A">
      <w:pPr>
        <w:kinsoku/>
        <w:wordWrap/>
        <w:overflowPunct w:val="0"/>
        <w:topLinePunct w:val="0"/>
        <w:autoSpaceDE/>
        <w:autoSpaceDN/>
        <w:ind w:firstLine="1216" w:firstLineChars="400"/>
        <w:jc w:val="left"/>
        <w:rPr>
          <w:spacing w:val="-6"/>
          <w:szCs w:val="32"/>
          <w:highlight w:val="none"/>
        </w:rPr>
      </w:pPr>
      <w:r>
        <w:rPr>
          <w:spacing w:val="-6"/>
          <w:szCs w:val="32"/>
          <w:highlight w:val="none"/>
        </w:rPr>
        <w:t>5.消防改建方案</w:t>
      </w:r>
    </w:p>
    <w:p w14:paraId="4C963022">
      <w:pPr>
        <w:kinsoku/>
        <w:wordWrap/>
        <w:overflowPunct w:val="0"/>
        <w:topLinePunct w:val="0"/>
        <w:autoSpaceDE/>
        <w:autoSpaceDN/>
        <w:ind w:firstLine="1216" w:firstLineChars="400"/>
        <w:jc w:val="left"/>
        <w:rPr>
          <w:spacing w:val="-6"/>
          <w:szCs w:val="32"/>
          <w:highlight w:val="none"/>
        </w:rPr>
      </w:pPr>
      <w:r>
        <w:rPr>
          <w:spacing w:val="-6"/>
          <w:szCs w:val="32"/>
          <w:highlight w:val="none"/>
        </w:rPr>
        <w:t>6.其他材料</w:t>
      </w:r>
    </w:p>
    <w:p w14:paraId="5652C7D4">
      <w:pPr>
        <w:kinsoku/>
        <w:wordWrap/>
        <w:overflowPunct w:val="0"/>
        <w:topLinePunct w:val="0"/>
        <w:autoSpaceDE/>
        <w:autoSpaceDN/>
        <w:jc w:val="left"/>
        <w:rPr>
          <w:rFonts w:eastAsia="仿宋_GB2312"/>
          <w:vanish w:val="0"/>
          <w:color w:val="auto"/>
          <w:spacing w:val="-6"/>
          <w:kern w:val="2"/>
          <w:sz w:val="32"/>
          <w:szCs w:val="32"/>
          <w:highlight w:val="none"/>
        </w:rPr>
      </w:pPr>
    </w:p>
    <w:p w14:paraId="7AA2D030">
      <w:pPr>
        <w:kinsoku/>
        <w:wordWrap/>
        <w:overflowPunct w:val="0"/>
        <w:topLinePunct w:val="0"/>
        <w:autoSpaceDE/>
        <w:autoSpaceDN/>
        <w:jc w:val="left"/>
        <w:rPr>
          <w:rFonts w:eastAsia="仿宋_GB2312"/>
          <w:vanish w:val="0"/>
          <w:color w:val="auto"/>
          <w:spacing w:val="-6"/>
          <w:kern w:val="2"/>
          <w:sz w:val="32"/>
          <w:szCs w:val="32"/>
          <w:highlight w:val="none"/>
        </w:rPr>
      </w:pPr>
    </w:p>
    <w:p w14:paraId="484115E2">
      <w:pPr>
        <w:kinsoku/>
        <w:wordWrap/>
        <w:overflowPunct w:val="0"/>
        <w:topLinePunct w:val="0"/>
        <w:autoSpaceDE/>
        <w:autoSpaceDN/>
        <w:jc w:val="left"/>
        <w:rPr>
          <w:rFonts w:eastAsia="仿宋_GB2312"/>
          <w:vanish w:val="0"/>
          <w:color w:val="auto"/>
          <w:spacing w:val="-6"/>
          <w:kern w:val="2"/>
          <w:sz w:val="32"/>
          <w:szCs w:val="32"/>
          <w:highlight w:val="none"/>
        </w:rPr>
      </w:pPr>
    </w:p>
    <w:p w14:paraId="439FE948">
      <w:pPr>
        <w:kinsoku/>
        <w:wordWrap/>
        <w:overflowPunct w:val="0"/>
        <w:topLinePunct w:val="0"/>
        <w:autoSpaceDE/>
        <w:autoSpaceDN/>
        <w:ind w:firstLine="912" w:firstLineChars="3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 xml:space="preserve">                                单位名称（盖章）</w:t>
      </w:r>
    </w:p>
    <w:p w14:paraId="016430C2">
      <w:pPr>
        <w:kinsoku/>
        <w:wordWrap/>
        <w:overflowPunct w:val="0"/>
        <w:topLinePunct w:val="0"/>
        <w:autoSpaceDE/>
        <w:autoSpaceDN/>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 xml:space="preserve">                                      年   月   日</w:t>
      </w:r>
    </w:p>
    <w:p w14:paraId="17729CC7">
      <w:pPr>
        <w:kinsoku/>
        <w:wordWrap/>
        <w:overflowPunct w:val="0"/>
        <w:topLinePunct w:val="0"/>
        <w:autoSpaceDE/>
        <w:autoSpaceDN/>
        <w:jc w:val="left"/>
        <w:rPr>
          <w:rFonts w:eastAsia="黑体"/>
          <w:vanish w:val="0"/>
          <w:color w:val="000000"/>
          <w:spacing w:val="-8"/>
          <w:kern w:val="2"/>
          <w:sz w:val="32"/>
          <w:szCs w:val="32"/>
          <w:highlight w:val="none"/>
        </w:rPr>
      </w:pPr>
      <w:r>
        <w:rPr>
          <w:rFonts w:eastAsia="仿宋_GB2312"/>
          <w:vanish w:val="0"/>
          <w:color w:val="auto"/>
          <w:spacing w:val="-6"/>
          <w:kern w:val="2"/>
          <w:sz w:val="28"/>
          <w:szCs w:val="28"/>
          <w:highlight w:val="none"/>
        </w:rPr>
        <w:br w:type="page"/>
      </w:r>
      <w:r>
        <w:rPr>
          <w:rFonts w:eastAsia="黑体"/>
          <w:vanish w:val="0"/>
          <w:color w:val="000000"/>
          <w:spacing w:val="-8"/>
          <w:kern w:val="2"/>
          <w:sz w:val="32"/>
          <w:szCs w:val="32"/>
          <w:highlight w:val="none"/>
        </w:rPr>
        <w:t>附件2</w:t>
      </w:r>
    </w:p>
    <w:p w14:paraId="587F2840">
      <w:pPr>
        <w:kinsoku/>
        <w:wordWrap/>
        <w:overflowPunct w:val="0"/>
        <w:topLinePunct w:val="0"/>
        <w:autoSpaceDE/>
        <w:autoSpaceDN/>
        <w:jc w:val="left"/>
        <w:rPr>
          <w:rFonts w:eastAsia="黑体"/>
          <w:vanish w:val="0"/>
          <w:color w:val="000000"/>
          <w:spacing w:val="-8"/>
          <w:kern w:val="2"/>
          <w:sz w:val="32"/>
          <w:szCs w:val="32"/>
          <w:highlight w:val="none"/>
        </w:rPr>
      </w:pPr>
    </w:p>
    <w:p w14:paraId="639F79D1">
      <w:pPr>
        <w:kinsoku/>
        <w:wordWrap/>
        <w:overflowPunct w:val="0"/>
        <w:topLinePunct w:val="0"/>
        <w:autoSpaceDE/>
        <w:autoSpaceDN/>
        <w:jc w:val="center"/>
        <w:outlineLvl w:val="0"/>
        <w:rPr>
          <w:rFonts w:eastAsia="方正小标宋简体"/>
          <w:vanish w:val="0"/>
          <w:color w:val="auto"/>
          <w:spacing w:val="-6"/>
          <w:kern w:val="2"/>
          <w:sz w:val="44"/>
          <w:szCs w:val="44"/>
          <w:highlight w:val="none"/>
        </w:rPr>
      </w:pPr>
      <w:r>
        <w:rPr>
          <w:rFonts w:eastAsia="方正小标宋简体"/>
          <w:vanish w:val="0"/>
          <w:color w:val="auto"/>
          <w:spacing w:val="-6"/>
          <w:kern w:val="2"/>
          <w:sz w:val="44"/>
          <w:szCs w:val="44"/>
          <w:highlight w:val="none"/>
        </w:rPr>
        <w:t>保障性租赁住房项目退出申请书</w:t>
      </w:r>
    </w:p>
    <w:p w14:paraId="415D17A1">
      <w:pPr>
        <w:kinsoku/>
        <w:wordWrap/>
        <w:overflowPunct w:val="0"/>
        <w:topLinePunct w:val="0"/>
        <w:autoSpaceDE/>
        <w:autoSpaceDN/>
        <w:outlineLvl w:val="0"/>
        <w:rPr>
          <w:rFonts w:eastAsia="仿宋_GB2312"/>
          <w:vanish w:val="0"/>
          <w:color w:val="auto"/>
          <w:spacing w:val="-6"/>
          <w:kern w:val="2"/>
          <w:sz w:val="28"/>
          <w:szCs w:val="28"/>
          <w:highlight w:val="none"/>
        </w:rPr>
      </w:pPr>
    </w:p>
    <w:p w14:paraId="51DA8652">
      <w:pPr>
        <w:kinsoku/>
        <w:wordWrap/>
        <w:overflowPunct w:val="0"/>
        <w:topLinePunct w:val="0"/>
        <w:autoSpaceDE/>
        <w:autoSpaceDN/>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XX区住建委：</w:t>
      </w:r>
    </w:p>
    <w:p w14:paraId="31655631">
      <w:pPr>
        <w:kinsoku/>
        <w:wordWrap/>
        <w:overflowPunct w:val="0"/>
        <w:topLinePunct w:val="0"/>
        <w:autoSpaceDE/>
        <w:autoSpaceDN/>
        <w:ind w:firstLine="608" w:firstLineChars="200"/>
        <w:outlineLvl w:val="0"/>
        <w:rPr>
          <w:rFonts w:eastAsia="仿宋_GB2312"/>
          <w:vanish w:val="0"/>
          <w:color w:val="000000"/>
          <w:spacing w:val="-8"/>
          <w:kern w:val="2"/>
          <w:sz w:val="32"/>
          <w:szCs w:val="32"/>
          <w:highlight w:val="none"/>
        </w:rPr>
      </w:pPr>
      <w:r>
        <w:rPr>
          <w:rFonts w:eastAsia="仿宋_GB2312"/>
          <w:vanish w:val="0"/>
          <w:color w:val="auto"/>
          <w:spacing w:val="-6"/>
          <w:kern w:val="2"/>
          <w:sz w:val="32"/>
          <w:szCs w:val="32"/>
          <w:highlight w:val="none"/>
        </w:rPr>
        <w:t>我单位改建的****保障性租赁住房项目，于****年**月**日取得保障性租赁住房项目认定书（认定书编号：*****），于****年**月**日投入运营。因【</w:t>
      </w:r>
      <w:r>
        <w:rPr>
          <w:rFonts w:eastAsia="仿宋_GB2312"/>
          <w:vanish w:val="0"/>
          <w:color w:val="000000"/>
          <w:spacing w:val="-8"/>
          <w:kern w:val="2"/>
          <w:sz w:val="32"/>
          <w:szCs w:val="32"/>
          <w:highlight w:val="none"/>
        </w:rPr>
        <w:t>改建运营年限期满/改建运营年限未满申请提前退出</w:t>
      </w:r>
      <w:r>
        <w:rPr>
          <w:rFonts w:eastAsia="仿宋_GB2312"/>
          <w:vanish w:val="0"/>
          <w:color w:val="auto"/>
          <w:spacing w:val="-6"/>
          <w:kern w:val="2"/>
          <w:sz w:val="32"/>
          <w:szCs w:val="32"/>
          <w:highlight w:val="none"/>
        </w:rPr>
        <w:t>】，经与运营方、承租人等各方协商并达成一致意见，申请将该项目退出保障性租赁住房，与承租方合同均已按规定解除，已妥善处理原有住房租赁关系，无住房租赁合同纠纷。退出后，</w:t>
      </w:r>
      <w:r>
        <w:rPr>
          <w:rFonts w:eastAsia="仿宋_GB2312"/>
          <w:vanish w:val="0"/>
          <w:color w:val="000000"/>
          <w:spacing w:val="-8"/>
          <w:kern w:val="2"/>
          <w:sz w:val="32"/>
          <w:szCs w:val="32"/>
          <w:highlight w:val="none"/>
        </w:rPr>
        <w:t>房屋及水电气热价格等申请纳入原用途管理。</w:t>
      </w:r>
    </w:p>
    <w:p w14:paraId="6FCB6A9A">
      <w:pPr>
        <w:kinsoku/>
        <w:wordWrap/>
        <w:overflowPunct w:val="0"/>
        <w:topLinePunct w:val="0"/>
        <w:autoSpaceDE/>
        <w:autoSpaceDN/>
        <w:ind w:firstLine="600" w:firstLineChars="200"/>
        <w:outlineLvl w:val="0"/>
        <w:rPr>
          <w:rFonts w:eastAsia="仿宋_GB2312"/>
          <w:vanish w:val="0"/>
          <w:color w:val="000000"/>
          <w:spacing w:val="-8"/>
          <w:kern w:val="2"/>
          <w:sz w:val="32"/>
          <w:szCs w:val="32"/>
          <w:highlight w:val="none"/>
        </w:rPr>
      </w:pPr>
    </w:p>
    <w:p w14:paraId="0E31904E">
      <w:pPr>
        <w:kinsoku/>
        <w:wordWrap/>
        <w:overflowPunct w:val="0"/>
        <w:topLinePunct w:val="0"/>
        <w:autoSpaceDE/>
        <w:autoSpaceDN/>
        <w:ind w:firstLine="600" w:firstLineChars="200"/>
        <w:outlineLvl w:val="0"/>
        <w:rPr>
          <w:rFonts w:eastAsia="仿宋_GB2312"/>
          <w:vanish w:val="0"/>
          <w:color w:val="000000"/>
          <w:spacing w:val="-8"/>
          <w:kern w:val="2"/>
          <w:sz w:val="32"/>
          <w:szCs w:val="32"/>
          <w:highlight w:val="none"/>
        </w:rPr>
      </w:pPr>
    </w:p>
    <w:p w14:paraId="7D2FFBF1">
      <w:pPr>
        <w:kinsoku/>
        <w:wordWrap/>
        <w:overflowPunct w:val="0"/>
        <w:topLinePunct w:val="0"/>
        <w:autoSpaceDE/>
        <w:autoSpaceDN/>
        <w:ind w:firstLine="600" w:firstLineChars="200"/>
        <w:outlineLvl w:val="0"/>
        <w:rPr>
          <w:rFonts w:eastAsia="仿宋_GB2312"/>
          <w:vanish w:val="0"/>
          <w:color w:val="000000"/>
          <w:spacing w:val="-8"/>
          <w:kern w:val="2"/>
          <w:sz w:val="32"/>
          <w:szCs w:val="32"/>
          <w:highlight w:val="none"/>
        </w:rPr>
      </w:pPr>
    </w:p>
    <w:p w14:paraId="1A1BEC70">
      <w:pPr>
        <w:kinsoku/>
        <w:wordWrap/>
        <w:overflowPunct w:val="0"/>
        <w:topLinePunct w:val="0"/>
        <w:autoSpaceDE/>
        <w:autoSpaceDN/>
        <w:ind w:firstLine="912" w:firstLineChars="300"/>
        <w:jc w:val="left"/>
        <w:rPr>
          <w:rFonts w:eastAsia="仿宋_GB2312"/>
          <w:vanish w:val="0"/>
          <w:color w:val="auto"/>
          <w:spacing w:val="-6"/>
          <w:kern w:val="2"/>
          <w:sz w:val="32"/>
          <w:szCs w:val="32"/>
          <w:highlight w:val="none"/>
        </w:rPr>
      </w:pPr>
      <w:r>
        <w:rPr>
          <w:rFonts w:eastAsia="仿宋_GB2312"/>
          <w:vanish w:val="0"/>
          <w:color w:val="auto"/>
          <w:spacing w:val="-6"/>
          <w:kern w:val="2"/>
          <w:sz w:val="32"/>
          <w:szCs w:val="32"/>
          <w:highlight w:val="none"/>
        </w:rPr>
        <w:t xml:space="preserve">                                单位名称（盖章）</w:t>
      </w:r>
    </w:p>
    <w:p w14:paraId="4ACBD360">
      <w:pPr>
        <w:kinsoku/>
        <w:wordWrap/>
        <w:overflowPunct w:val="0"/>
        <w:topLinePunct w:val="0"/>
        <w:autoSpaceDE/>
        <w:autoSpaceDN/>
        <w:jc w:val="left"/>
        <w:rPr>
          <w:sz w:val="30"/>
          <w:highlight w:val="none"/>
        </w:rPr>
      </w:pPr>
      <w:r>
        <w:rPr>
          <w:rFonts w:eastAsia="仿宋_GB2312"/>
          <w:vanish w:val="0"/>
          <w:color w:val="auto"/>
          <w:spacing w:val="-6"/>
          <w:kern w:val="2"/>
          <w:sz w:val="32"/>
          <w:szCs w:val="32"/>
          <w:highlight w:val="none"/>
        </w:rPr>
        <w:t xml:space="preserve">                                       年   月   日</w:t>
      </w:r>
    </w:p>
    <w:sectPr>
      <w:footerReference r:id="rId3" w:type="default"/>
      <w:pgSz w:w="11906" w:h="16838"/>
      <w:pgMar w:top="2098" w:right="1418" w:bottom="1985" w:left="1588" w:header="851" w:footer="1588"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cida Sans">
    <w:altName w:val="Lucida Sans Unicode"/>
    <w:panose1 w:val="020B0602030504020204"/>
    <w:charset w:val="00"/>
    <w:family w:val="auto"/>
    <w:pitch w:val="default"/>
    <w:sig w:usb0="00000000"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仿宋简体">
    <w:altName w:val="仿宋"/>
    <w:panose1 w:val="00000000000000000000"/>
    <w:charset w:val="00"/>
    <w:family w:val="script"/>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82FC">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44666A"/>
    <w:multiLevelType w:val="multilevel"/>
    <w:tmpl w:val="D844666A"/>
    <w:lvl w:ilvl="0" w:tentative="0">
      <w:start w:val="1"/>
      <w:numFmt w:val="decimal"/>
      <w:lvlText w:val="%1."/>
      <w:lvlJc w:val="left"/>
      <w:pPr>
        <w:tabs>
          <w:tab w:val="left" w:pos="0"/>
        </w:tabs>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232A7BE"/>
    <w:multiLevelType w:val="multilevel"/>
    <w:tmpl w:val="1232A7BE"/>
    <w:lvl w:ilvl="0" w:tentative="0">
      <w:start w:val="1"/>
      <w:numFmt w:val="chineseCountingThousand"/>
      <w:lvlText w:val="（%1）"/>
      <w:lvlJc w:val="left"/>
      <w:pPr>
        <w:tabs>
          <w:tab w:val="left" w:pos="0"/>
        </w:tabs>
        <w:ind w:left="0" w:firstLine="0"/>
      </w:pPr>
      <w:rPr>
        <w:rFonts w:hint="eastAsia" w:eastAsia="楷体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28A4E5F"/>
    <w:multiLevelType w:val="multilevel"/>
    <w:tmpl w:val="228A4E5F"/>
    <w:lvl w:ilvl="0" w:tentative="0">
      <w:start w:val="1"/>
      <w:numFmt w:val="chineseCountingThousand"/>
      <w:lvlText w:val="（%1）"/>
      <w:lvlJc w:val="left"/>
      <w:pPr>
        <w:tabs>
          <w:tab w:val="left" w:pos="0"/>
        </w:tabs>
        <w:ind w:left="0" w:firstLine="0"/>
      </w:pPr>
      <w:rPr>
        <w:rFonts w:hint="eastAsia" w:eastAsia="楷体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mNGEyZGU5YzNjMTE3ZmQ5NzhkM2U4MWQzMmQxNzAifQ=="/>
  </w:docVars>
  <w:rsids>
    <w:rsidRoot w:val="00000000"/>
    <w:rsid w:val="21DA6DB2"/>
    <w:rsid w:val="21E710C0"/>
    <w:rsid w:val="3DB712DF"/>
    <w:rsid w:val="777211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b/>
      <w:bCs/>
      <w:sz w:val="32"/>
      <w:szCs w:val="32"/>
    </w:rPr>
  </w:style>
  <w:style w:type="character" w:default="1" w:styleId="25">
    <w:name w:val="Default Paragraph Font"/>
    <w:qFormat/>
    <w:uiPriority w:val="0"/>
  </w:style>
  <w:style w:type="table" w:default="1" w:styleId="24">
    <w:name w:val="Normal Table"/>
    <w:semiHidden/>
    <w:uiPriority w:val="0"/>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spacing w:line="360" w:lineRule="auto"/>
    </w:pPr>
    <w:rPr>
      <w:rFonts w:ascii="仿宋_GB2312"/>
      <w:szCs w:val="20"/>
    </w:rPr>
  </w:style>
  <w:style w:type="paragraph" w:styleId="6">
    <w:name w:val="Document Map"/>
    <w:basedOn w:val="1"/>
    <w:qFormat/>
    <w:uiPriority w:val="0"/>
    <w:pPr>
      <w:shd w:val="clear" w:color="auto" w:fill="000080"/>
    </w:pPr>
  </w:style>
  <w:style w:type="paragraph" w:styleId="7">
    <w:name w:val="Body Text"/>
    <w:basedOn w:val="1"/>
    <w:qFormat/>
    <w:uiPriority w:val="0"/>
  </w:style>
  <w:style w:type="paragraph" w:styleId="8">
    <w:name w:val="Body Text Indent"/>
    <w:basedOn w:val="1"/>
    <w:qFormat/>
    <w:uiPriority w:val="0"/>
    <w:pPr>
      <w:spacing w:after="120"/>
      <w:ind w:left="200" w:leftChars="200"/>
    </w:pPr>
    <w:rPr>
      <w:rFonts w:eastAsia="宋体"/>
      <w:sz w:val="21"/>
    </w:rPr>
  </w:style>
  <w:style w:type="paragraph" w:styleId="9">
    <w:name w:val="toc 5"/>
    <w:basedOn w:val="1"/>
    <w:next w:val="1"/>
    <w:qFormat/>
    <w:uiPriority w:val="0"/>
    <w:pPr>
      <w:ind w:left="1680"/>
    </w:pPr>
  </w:style>
  <w:style w:type="paragraph" w:styleId="10">
    <w:name w:val="toc 3"/>
    <w:basedOn w:val="1"/>
    <w:next w:val="1"/>
    <w:qFormat/>
    <w:uiPriority w:val="0"/>
    <w:pPr>
      <w:ind w:left="840"/>
    </w:pPr>
  </w:style>
  <w:style w:type="paragraph" w:styleId="11">
    <w:name w:val="Plain Text"/>
    <w:basedOn w:val="1"/>
    <w:qFormat/>
    <w:uiPriority w:val="0"/>
    <w:pPr>
      <w:tabs>
        <w:tab w:val="left" w:pos="4004"/>
      </w:tabs>
    </w:pPr>
    <w:rPr>
      <w:rFonts w:ascii="宋体" w:hAnsi="Courier New" w:eastAsia="宋体"/>
      <w:sz w:val="21"/>
      <w:szCs w:val="21"/>
    </w:rPr>
  </w:style>
  <w:style w:type="paragraph" w:styleId="12">
    <w:name w:val="Date"/>
    <w:basedOn w:val="1"/>
    <w:next w:val="1"/>
    <w:qFormat/>
    <w:uiPriority w:val="0"/>
    <w:pPr>
      <w:ind w:left="2500" w:leftChars="2500"/>
    </w:pPr>
    <w:rPr>
      <w:rFonts w:eastAsia="宋体"/>
      <w:sz w:val="28"/>
    </w:rPr>
  </w:style>
  <w:style w:type="paragraph" w:styleId="13">
    <w:name w:val="Body Text Indent 2"/>
    <w:basedOn w:val="1"/>
    <w:qFormat/>
    <w:uiPriority w:val="0"/>
    <w:pPr>
      <w:spacing w:after="120" w:line="480" w:lineRule="auto"/>
      <w:ind w:left="200" w:leftChars="200"/>
    </w:pPr>
  </w:style>
  <w:style w:type="paragraph" w:styleId="14">
    <w:name w:val="Balloon Text"/>
    <w:basedOn w:val="1"/>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style>
  <w:style w:type="paragraph" w:styleId="18">
    <w:name w:val="toc 4"/>
    <w:basedOn w:val="1"/>
    <w:next w:val="1"/>
    <w:qFormat/>
    <w:uiPriority w:val="0"/>
    <w:pPr>
      <w:ind w:left="1260"/>
    </w:pPr>
  </w:style>
  <w:style w:type="paragraph" w:styleId="19">
    <w:name w:val="Subtitle"/>
    <w:basedOn w:val="1"/>
    <w:next w:val="1"/>
    <w:qFormat/>
    <w:uiPriority w:val="0"/>
    <w:pPr>
      <w:spacing w:before="240" w:after="60" w:line="360" w:lineRule="auto"/>
      <w:ind w:firstLine="200" w:firstLineChars="200"/>
      <w:jc w:val="left"/>
      <w:outlineLvl w:val="1"/>
    </w:pPr>
    <w:rPr>
      <w:rFonts w:ascii="Cambria" w:hAnsi="Cambria" w:eastAsia="宋体"/>
      <w:b/>
      <w:bCs/>
      <w:kern w:val="28"/>
      <w:sz w:val="28"/>
      <w:szCs w:val="32"/>
    </w:rPr>
  </w:style>
  <w:style w:type="paragraph" w:styleId="20">
    <w:name w:val="toc 2"/>
    <w:basedOn w:val="1"/>
    <w:next w:val="1"/>
    <w:qFormat/>
    <w:uiPriority w:val="0"/>
    <w:pPr>
      <w:ind w:left="420"/>
    </w:pPr>
  </w:style>
  <w:style w:type="paragraph" w:styleId="21">
    <w:name w:val="Body Text 2"/>
    <w:basedOn w:val="1"/>
    <w:qFormat/>
    <w:uiPriority w:val="0"/>
    <w:pPr>
      <w:spacing w:after="120" w:line="480" w:lineRule="auto"/>
    </w:pPr>
    <w:rPr>
      <w:rFonts w:eastAsia="宋体"/>
      <w:sz w:val="21"/>
    </w:rPr>
  </w:style>
  <w:style w:type="paragraph" w:styleId="22">
    <w:name w:val="Body Text First Indent"/>
    <w:basedOn w:val="7"/>
    <w:qFormat/>
    <w:uiPriority w:val="0"/>
    <w:pPr>
      <w:spacing w:after="120"/>
      <w:ind w:firstLine="100" w:firstLineChars="100"/>
    </w:pPr>
  </w:style>
  <w:style w:type="paragraph" w:styleId="23">
    <w:name w:val="Body Text First Indent 2"/>
    <w:basedOn w:val="8"/>
    <w:next w:val="1"/>
    <w:qFormat/>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val="0"/>
      <w:kinsoku/>
      <w:wordWrap/>
      <w:overflowPunct/>
      <w:topLinePunct w:val="0"/>
      <w:autoSpaceDE/>
      <w:autoSpaceDN/>
      <w:bidi w:val="0"/>
      <w:adjustRightInd/>
      <w:snapToGrid/>
      <w:spacing w:before="100" w:beforeAutospacing="1" w:after="120" w:afterAutospacing="0" w:line="240" w:lineRule="atLeast"/>
      <w:ind w:left="200" w:leftChars="200" w:right="0" w:firstLine="200" w:firstLineChars="200"/>
      <w:jc w:val="both"/>
      <w:textAlignment w:val="auto"/>
      <w:outlineLvl w:val="9"/>
    </w:pPr>
    <w:rPr>
      <w:rFonts w:ascii="Times New Roman" w:hAnsi="Times New Roman" w:eastAsia="仿宋_GB2312"/>
      <w:snapToGrid/>
      <w:color w:val="auto"/>
      <w:spacing w:val="-6"/>
      <w:w w:val="100"/>
      <w:kern w:val="2"/>
      <w:position w:val="0"/>
      <w:sz w:val="32"/>
      <w:szCs w:val="32"/>
      <w:u w:val="none" w:color="auto"/>
      <w:shd w:val="clear" w:color="auto" w:fill="auto"/>
      <w:vertAlign w:val="baseline"/>
      <w:lang w:val="en-US" w:eastAsia="zh-CN"/>
    </w:rPr>
  </w:style>
  <w:style w:type="character" w:styleId="26">
    <w:name w:val="page number"/>
    <w:basedOn w:val="25"/>
    <w:qFormat/>
    <w:uiPriority w:val="0"/>
  </w:style>
  <w:style w:type="character" w:styleId="27">
    <w:name w:val="Hyperlink"/>
    <w:qFormat/>
    <w:uiPriority w:val="0"/>
    <w:rPr>
      <w:color w:val="000000"/>
      <w:sz w:val="11"/>
      <w:u w:val="none"/>
    </w:rPr>
  </w:style>
  <w:style w:type="character" w:customStyle="1" w:styleId="28">
    <w:name w:val="heading 1 Char"/>
    <w:basedOn w:val="25"/>
    <w:link w:val="2"/>
    <w:qFormat/>
    <w:uiPriority w:val="0"/>
    <w:rPr>
      <w:rFonts w:ascii="Times New Roman" w:hAnsi="Times New Roman" w:eastAsia="仿宋_GB2312" w:cs="Times New Roman"/>
      <w:b/>
      <w:bCs/>
      <w:kern w:val="44"/>
      <w:sz w:val="44"/>
      <w:szCs w:val="44"/>
      <w:lang w:val="en-US" w:eastAsia="zh-CN" w:bidi="ar-SA"/>
    </w:rPr>
  </w:style>
  <w:style w:type="character" w:customStyle="1" w:styleId="29">
    <w:name w:val="heading 2 Char"/>
    <w:basedOn w:val="25"/>
    <w:link w:val="3"/>
    <w:qFormat/>
    <w:uiPriority w:val="0"/>
    <w:rPr>
      <w:rFonts w:ascii="Times New Roman" w:hAnsi="Times New Roman" w:eastAsia="黑体" w:cs="Times New Roman"/>
      <w:b/>
      <w:bCs/>
      <w:kern w:val="2"/>
      <w:sz w:val="32"/>
      <w:szCs w:val="32"/>
      <w:lang w:val="en-US" w:eastAsia="zh-CN" w:bidi="ar-SA"/>
    </w:rPr>
  </w:style>
  <w:style w:type="character" w:customStyle="1" w:styleId="30">
    <w:name w:val="heading 3 Char"/>
    <w:basedOn w:val="25"/>
    <w:link w:val="4"/>
    <w:qFormat/>
    <w:uiPriority w:val="0"/>
    <w:rPr>
      <w:rFonts w:ascii="Times New Roman" w:hAnsi="Times New Roman" w:eastAsia="仿宋_GB2312" w:cs="Times New Roman"/>
      <w:b/>
      <w:bCs/>
      <w:kern w:val="2"/>
      <w:sz w:val="32"/>
      <w:szCs w:val="32"/>
      <w:lang w:val="en-US" w:eastAsia="zh-CN" w:bidi="ar-SA"/>
    </w:rPr>
  </w:style>
  <w:style w:type="paragraph" w:customStyle="1" w:styleId="31">
    <w:name w:val=" Char"/>
    <w:basedOn w:val="22"/>
    <w:next w:val="22"/>
    <w:qFormat/>
    <w:uiPriority w:val="0"/>
    <w:pPr>
      <w:tabs>
        <w:tab w:val="left" w:pos="360"/>
        <w:tab w:val="left" w:pos="900"/>
      </w:tabs>
      <w:spacing w:before="120" w:line="360" w:lineRule="auto"/>
      <w:ind w:left="-12" w:leftChars="-12" w:firstLine="200" w:firstLineChars="200"/>
      <w:jc w:val="left"/>
    </w:pPr>
    <w:rPr>
      <w:rFonts w:ascii="Arial" w:hAnsi="Arial" w:eastAsia="宋体"/>
      <w:b/>
    </w:rPr>
  </w:style>
  <w:style w:type="paragraph" w:customStyle="1" w:styleId="32">
    <w:name w:val="默认段落字体 Para Char Char Char Char Char Char Char"/>
    <w:basedOn w:val="6"/>
    <w:qFormat/>
    <w:uiPriority w:val="0"/>
    <w:pPr>
      <w:adjustRightInd w:val="0"/>
      <w:spacing w:line="436" w:lineRule="exact"/>
      <w:ind w:left="357"/>
      <w:jc w:val="left"/>
      <w:outlineLvl w:val="3"/>
    </w:pPr>
    <w:rPr>
      <w:rFonts w:ascii="Tahoma" w:hAnsi="Tahoma" w:eastAsia="宋体"/>
      <w:b/>
      <w:sz w:val="24"/>
    </w:rPr>
  </w:style>
  <w:style w:type="paragraph" w:customStyle="1" w:styleId="33">
    <w:name w:val="00正文"/>
    <w:basedOn w:val="1"/>
    <w:qFormat/>
    <w:uiPriority w:val="0"/>
    <w:pPr>
      <w:spacing w:line="440" w:lineRule="exact"/>
      <w:ind w:firstLine="200" w:firstLineChars="200"/>
    </w:pPr>
    <w:rPr>
      <w:rFonts w:eastAsia="方正仿宋简体"/>
      <w:sz w:val="24"/>
    </w:rPr>
  </w:style>
  <w:style w:type="paragraph" w:customStyle="1" w:styleId="34">
    <w:name w:val="Char Char1 Char Char Char Char Char Char"/>
    <w:basedOn w:val="1"/>
    <w:qFormat/>
    <w:uiPriority w:val="0"/>
    <w:pPr>
      <w:widowControl/>
      <w:spacing w:after="160" w:line="240" w:lineRule="exact"/>
      <w:jc w:val="left"/>
    </w:pPr>
    <w:rPr>
      <w:rFonts w:ascii="Verdana" w:hAnsi="Verdana"/>
      <w:kern w:val="0"/>
      <w:szCs w:val="20"/>
    </w:rPr>
  </w:style>
  <w:style w:type="paragraph" w:customStyle="1" w:styleId="35">
    <w:name w:val="正文A"/>
    <w:qFormat/>
    <w:uiPriority w:val="0"/>
    <w:pPr>
      <w:tabs>
        <w:tab w:val="left" w:pos="0"/>
      </w:tabs>
      <w:adjustRightInd w:val="0"/>
      <w:spacing w:before="120" w:line="360" w:lineRule="auto"/>
      <w:ind w:firstLine="480"/>
      <w:jc w:val="both"/>
    </w:pPr>
    <w:rPr>
      <w:rFonts w:ascii="Times New Roman" w:hAnsi="Times New Roman" w:eastAsia="宋体" w:cs="Times New Roman"/>
      <w:snapToGrid w:val="0"/>
      <w:sz w:val="24"/>
      <w:szCs w:val="20"/>
      <w:lang w:val="en-US" w:eastAsia="zh-CN" w:bidi="ar-SA"/>
    </w:rPr>
  </w:style>
  <w:style w:type="paragraph" w:customStyle="1" w:styleId="36">
    <w:name w:val="正文内容"/>
    <w:basedOn w:val="1"/>
    <w:qFormat/>
    <w:uiPriority w:val="0"/>
    <w:pPr>
      <w:spacing w:line="400" w:lineRule="exact"/>
      <w:ind w:firstLine="560"/>
    </w:pPr>
    <w:rPr>
      <w:rFonts w:eastAsia="宋体" w:cs="宋体"/>
      <w:sz w:val="28"/>
      <w:szCs w:val="20"/>
    </w:rPr>
  </w:style>
  <w:style w:type="paragraph" w:customStyle="1" w:styleId="37">
    <w:name w:val="正文缩进首行缩进两字1"/>
    <w:basedOn w:val="1"/>
    <w:next w:val="1"/>
    <w:qFormat/>
    <w:uiPriority w:val="0"/>
    <w:pPr>
      <w:spacing w:line="360" w:lineRule="auto"/>
      <w:ind w:firstLine="200" w:firstLineChars="200"/>
    </w:pPr>
    <w:rPr>
      <w:rFonts w:ascii="宋体" w:hAnsi="宋体" w:eastAsia="宋体"/>
      <w:kern w:val="0"/>
      <w:sz w:val="28"/>
      <w:szCs w:val="28"/>
    </w:rPr>
  </w:style>
  <w:style w:type="character" w:customStyle="1" w:styleId="38">
    <w:name w:val="16"/>
    <w:basedOn w:val="25"/>
    <w:qFormat/>
    <w:uiPriority w:val="0"/>
    <w:rPr>
      <w:rFonts w:ascii="仿宋_GB2312" w:eastAsia="仿宋_GB231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ap="flat" cmpd="sng">
          <a:solidFill>
            <a:schemeClr val="phClr"/>
          </a:solidFill>
          <a:prstDash val="solid"/>
          <a:miter/>
        </a:ln>
        <a:ln w="12700" cap="flat" cmpd="sng">
          <a:solidFill>
            <a:schemeClr val="phClr"/>
          </a:solidFill>
          <a:prstDash val="solid"/>
          <a:miter/>
        </a:ln>
        <a:ln w="19050" cap="flat" cmpd="sng">
          <a:solidFill>
            <a:schemeClr val="phClr"/>
          </a:solidFill>
          <a:prstDash val="solid"/>
          <a:miter/>
        </a:ln>
      </a:lnStyleLst>
      <a:effectStyleLst>
        <a:effectStyle>
          <a:effectLst/>
        </a:effectStyle>
        <a:effectStyle>
          <a:effectLst/>
        </a:effectStyle>
        <a:effectStyle>
          <a:effectLst>
            <a:outerShdw blurRad="57150" dist="19050" dir="5400000" rotWithShape="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customProps>
</customData>
</file>

<file path=customXml/itemProps1.xml><?xml version="1.0" encoding="utf-8"?>
<ds:datastoreItem xmlns:ds="http://schemas.openxmlformats.org/officeDocument/2006/customXml" ds:itemID="{609AF8A6-D5B7-494A-80A7-DCA0615D7ECD}">
  <ds:schemaRefs/>
</ds:datastoreItem>
</file>

<file path=docProps/app.xml><?xml version="1.0" encoding="utf-8"?>
<Properties xmlns="http://schemas.openxmlformats.org/officeDocument/2006/extended-properties" xmlns:vt="http://schemas.openxmlformats.org/officeDocument/2006/docPropsVTypes">
  <Template>Normal.eit</Template>
  <Pages>12</Pages>
  <Words>4808</Words>
  <Characters>4890</Characters>
  <Lines>0</Lines>
  <Paragraphs>236</Paragraphs>
  <TotalTime>14092529</TotalTime>
  <ScaleCrop>false</ScaleCrop>
  <LinksUpToDate>false</LinksUpToDate>
  <CharactersWithSpaces>5072</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2023-09-01T04:29:00Z</dcterms:created>
  <dc:creator>贾东</dc:creator>
  <cp:lastModifiedBy>小波</cp:lastModifiedBy>
  <cp:lastPrinted>2024-06-13T09:31:00Z</cp:lastPrinted>
  <dcterms:modified xsi:type="dcterms:W3CDTF">2024-07-10T03:10:18Z</dcterms:modified>
  <dc:title>建[2002]号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949E9B6BBF5941F5BA60B925E7C68DB9_13</vt:lpwstr>
  </property>
</Properties>
</file>